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C8311AC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r w:rsidR="00D660CF">
        <w:rPr>
          <w:rFonts w:ascii="Times New Roman" w:hAnsi="Times New Roman" w:cs="Times New Roman"/>
          <w:b/>
        </w:rPr>
        <w:t>/partnera</w:t>
      </w:r>
      <w:r w:rsidRPr="00A67FC3">
        <w:rPr>
          <w:rFonts w:ascii="Times New Roman" w:hAnsi="Times New Roman" w:cs="Times New Roman"/>
          <w:b/>
        </w:rPr>
        <w:t>:</w:t>
      </w:r>
    </w:p>
    <w:p w14:paraId="7632A448" w14:textId="38184FDE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F952C7"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– odborný personál</w:t>
      </w:r>
      <w:r w:rsidR="008709D9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>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F952C7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p w14:paraId="35AAA12C" w14:textId="63756E14" w:rsidR="008709D9" w:rsidRDefault="008709D9" w:rsidP="00AE19E5">
      <w:pPr>
        <w:jc w:val="both"/>
        <w:rPr>
          <w:rFonts w:cstheme="minorHAnsi"/>
          <w:b/>
          <w:bCs/>
        </w:rPr>
      </w:pPr>
    </w:p>
    <w:p w14:paraId="23887B42" w14:textId="33C34F44" w:rsidR="008709D9" w:rsidRPr="00AE19E5" w:rsidRDefault="008709D9" w:rsidP="00AE19E5">
      <w:pPr>
        <w:jc w:val="both"/>
        <w:rPr>
          <w:rFonts w:ascii="Times New Roman" w:hAnsi="Times New Roman" w:cs="Times New Roman"/>
          <w:b/>
        </w:rPr>
      </w:pPr>
      <w:r w:rsidRPr="00AE19E5">
        <w:rPr>
          <w:rFonts w:ascii="Times New Roman" w:hAnsi="Times New Roman" w:cs="Times New Roman"/>
          <w:b/>
        </w:rPr>
        <w:t xml:space="preserve">Príklady oprávnených ostatných </w:t>
      </w:r>
      <w:r w:rsidR="0000039D">
        <w:rPr>
          <w:rFonts w:ascii="Times New Roman" w:hAnsi="Times New Roman" w:cs="Times New Roman"/>
          <w:b/>
        </w:rPr>
        <w:t>výdavkov</w:t>
      </w:r>
      <w:r w:rsidRPr="00AE19E5">
        <w:rPr>
          <w:rFonts w:ascii="Times New Roman" w:hAnsi="Times New Roman" w:cs="Times New Roman"/>
          <w:b/>
        </w:rPr>
        <w:t xml:space="preserve"> </w:t>
      </w:r>
      <w:r w:rsidR="00FC3881">
        <w:rPr>
          <w:rFonts w:ascii="Times New Roman" w:hAnsi="Times New Roman" w:cs="Times New Roman"/>
          <w:b/>
        </w:rPr>
        <w:t xml:space="preserve">uplatnených v paušálnej sadzbe </w:t>
      </w:r>
      <w:r w:rsidRPr="00AE19E5">
        <w:rPr>
          <w:rFonts w:ascii="Times New Roman" w:hAnsi="Times New Roman" w:cs="Times New Roman"/>
          <w:b/>
        </w:rPr>
        <w:t>pre účely dopytovo – orientovaných projektov</w:t>
      </w:r>
    </w:p>
    <w:p w14:paraId="3FE785EF" w14:textId="31C165F8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Riadiaci orgán pre operačný program Efektívna verejná správa (ďalej len „RO pre OP EVS“) v súlade s čl. 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68b </w:t>
      </w:r>
      <w:r>
        <w:rPr>
          <w:rFonts w:asciiTheme="majorHAnsi" w:hAnsiTheme="majorHAnsi" w:cstheme="majorHAnsi"/>
          <w:i/>
          <w:sz w:val="20"/>
          <w:szCs w:val="20"/>
        </w:rPr>
        <w:t xml:space="preserve">ods. </w:t>
      </w:r>
      <w:r w:rsidR="00911754">
        <w:rPr>
          <w:rFonts w:asciiTheme="majorHAnsi" w:hAnsiTheme="majorHAnsi" w:cstheme="majorHAnsi"/>
          <w:i/>
          <w:sz w:val="20"/>
          <w:szCs w:val="20"/>
        </w:rPr>
        <w:t>1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11754" w:rsidRPr="00911754">
        <w:rPr>
          <w:rFonts w:asciiTheme="majorHAnsi" w:hAnsiTheme="majorHAnsi" w:cstheme="majorHAnsi"/>
          <w:i/>
          <w:sz w:val="20"/>
          <w:szCs w:val="20"/>
        </w:rPr>
        <w:t>Nariadenia Európskeho parlamentu a Rady (EÚ) č. 1303/2013 zo 17. decembra 2013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911754" w:rsidRPr="00911754">
        <w:rPr>
          <w:rFonts w:asciiTheme="majorHAnsi" w:hAnsiTheme="majorHAnsi" w:cstheme="majorHAnsi"/>
          <w:i/>
          <w:sz w:val="20"/>
          <w:szCs w:val="20"/>
        </w:rPr>
        <w:t>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(ďalej len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„</w:t>
      </w:r>
      <w:r w:rsidR="00911754">
        <w:rPr>
          <w:rFonts w:asciiTheme="majorHAnsi" w:hAnsiTheme="majorHAnsi" w:cstheme="majorHAnsi"/>
          <w:i/>
          <w:sz w:val="20"/>
          <w:szCs w:val="20"/>
        </w:rPr>
        <w:t xml:space="preserve">Všeobecné </w:t>
      </w:r>
      <w:r>
        <w:rPr>
          <w:rFonts w:asciiTheme="majorHAnsi" w:hAnsiTheme="majorHAnsi" w:cstheme="majorHAnsi"/>
          <w:i/>
          <w:sz w:val="20"/>
          <w:szCs w:val="20"/>
        </w:rPr>
        <w:t>nariadenie“) umožňuje aplikáciu paušálnej sadzby na krytie ostatných nákladov projektu ako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ich</w:t>
      </w:r>
      <w:r w:rsidR="00911754">
        <w:rPr>
          <w:rFonts w:asciiTheme="majorHAnsi" w:hAnsiTheme="majorHAnsi" w:cstheme="majorHAnsi"/>
          <w:i/>
          <w:sz w:val="20"/>
          <w:szCs w:val="20"/>
        </w:rPr>
        <w:t> </w:t>
      </w:r>
      <w:r>
        <w:rPr>
          <w:rFonts w:asciiTheme="majorHAnsi" w:hAnsiTheme="majorHAnsi" w:cstheme="majorHAnsi"/>
          <w:i/>
          <w:sz w:val="20"/>
          <w:szCs w:val="20"/>
        </w:rPr>
        <w:t>podielu na priamych nákladoch na zamestnancov až do výšky 40 % z uvedenej základne.</w:t>
      </w:r>
    </w:p>
    <w:p w14:paraId="0B7B49C0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V súvislosti s §16a „Zjednodušené vykazovanie výdavkov“ odsek 3 zákona č. 292/2014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Z.z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>. o príspevku poskytovanom z európskych štrukturálnych a investičných fondov a o zmene a doplnení niektorých zákonov (ďalej len “zákon o príspevku poskytovanom z EŠIF”) poskytovateľ pri výkone kontroly splnenia podmienok oprávnenosti výdavkov overuje najmä dosiahnutie výstupov alebo uskutočnenie procesov, pričom uvedeným konaním nie je dotknuté právo poskytovateľa v odôvodnených prípadoch</w:t>
      </w:r>
      <w:r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3"/>
      </w:r>
      <w:r>
        <w:rPr>
          <w:rFonts w:asciiTheme="majorHAnsi" w:hAnsiTheme="majorHAnsi" w:cstheme="majorHAnsi"/>
          <w:i/>
          <w:sz w:val="20"/>
          <w:szCs w:val="20"/>
        </w:rPr>
        <w:t xml:space="preserve"> overiť ďalšie skutočnosti súvisiace s projektom. </w:t>
      </w:r>
    </w:p>
    <w:p w14:paraId="218E6014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Poskytovateľ neoveruje výdavky, ktorými sú ostatné náklady skutočne vynaložené prijímateľom.</w:t>
      </w:r>
    </w:p>
    <w:p w14:paraId="5E7E8051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V súvislosti s §16a „Zjednodušené vykazovanie výdavkov“ odsek 5 zákona o príspevku poskytovanom z EŠIF je povinný prijímateľ pri realizácii ostatných nákladov dodržiavať podmienky vyplývajúce z osobitných predpisov</w:t>
      </w:r>
      <w:r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4"/>
      </w:r>
      <w:r>
        <w:rPr>
          <w:rFonts w:asciiTheme="majorHAnsi" w:hAnsiTheme="majorHAnsi" w:cstheme="majorHAnsi"/>
          <w:i/>
          <w:sz w:val="20"/>
          <w:szCs w:val="20"/>
        </w:rPr>
        <w:t xml:space="preserve">. </w:t>
      </w:r>
    </w:p>
    <w:p w14:paraId="360D8FD9" w14:textId="77777777" w:rsidR="008709D9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41544B4D" w14:textId="43AEA59F" w:rsidR="008709D9" w:rsidRPr="00853F9D" w:rsidRDefault="008709D9" w:rsidP="00853F9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t>Uplatniteľné priame náklady na zamestnancov pri aplikovaní paušálnej sadzby sú určené výzvou</w:t>
      </w:r>
      <w:r w:rsidR="00853F9D">
        <w:rPr>
          <w:rFonts w:asciiTheme="majorHAnsi" w:hAnsiTheme="majorHAnsi" w:cstheme="majorHAnsi"/>
          <w:b/>
          <w:i/>
          <w:sz w:val="20"/>
          <w:szCs w:val="20"/>
        </w:rPr>
        <w:t xml:space="preserve"> a </w:t>
      </w:r>
      <w:r w:rsidR="00853F9D" w:rsidRPr="00853F9D">
        <w:rPr>
          <w:rFonts w:asciiTheme="majorHAnsi" w:hAnsiTheme="majorHAnsi" w:cstheme="majorHAnsi"/>
          <w:b/>
          <w:i/>
          <w:sz w:val="20"/>
          <w:szCs w:val="20"/>
        </w:rPr>
        <w:t>ostatné náklady nesmú byť zrealizované v rozpore so záväz</w:t>
      </w:r>
      <w:r w:rsidR="00853F9D">
        <w:rPr>
          <w:rFonts w:asciiTheme="majorHAnsi" w:hAnsiTheme="majorHAnsi" w:cstheme="majorHAnsi"/>
          <w:b/>
          <w:i/>
          <w:sz w:val="20"/>
          <w:szCs w:val="20"/>
        </w:rPr>
        <w:t xml:space="preserve">nými právnymi predpismi EÚ a SR </w:t>
      </w:r>
      <w:r w:rsidRPr="00853F9D">
        <w:rPr>
          <w:rFonts w:asciiTheme="majorHAnsi" w:hAnsiTheme="majorHAnsi" w:cstheme="majorHAnsi"/>
          <w:b/>
          <w:i/>
          <w:sz w:val="20"/>
          <w:szCs w:val="20"/>
        </w:rPr>
        <w:t>!</w:t>
      </w:r>
    </w:p>
    <w:p w14:paraId="400B389C" w14:textId="77777777" w:rsidR="00911754" w:rsidRDefault="00911754" w:rsidP="008709D9">
      <w:pPr>
        <w:jc w:val="both"/>
        <w:rPr>
          <w:rFonts w:ascii="Times New Roman" w:hAnsi="Times New Roman" w:cs="Times New Roman"/>
          <w:b/>
          <w:i/>
          <w:u w:val="single"/>
        </w:rPr>
      </w:pPr>
    </w:p>
    <w:p w14:paraId="6959AA30" w14:textId="19C9065B" w:rsidR="008709D9" w:rsidRPr="00853F9D" w:rsidRDefault="008709D9" w:rsidP="008709D9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lastRenderedPageBreak/>
        <w:t xml:space="preserve">Nepriame osobné výdavky prijímateľa pre účely využívania postupov </w:t>
      </w:r>
      <w:r w:rsidR="00853F9D">
        <w:rPr>
          <w:rFonts w:asciiTheme="majorHAnsi" w:hAnsiTheme="majorHAnsi" w:cstheme="majorHAnsi"/>
          <w:i/>
          <w:sz w:val="20"/>
          <w:szCs w:val="20"/>
        </w:rPr>
        <w:t>zjednodušeného vykazovania výdavkov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853F9D">
        <w:rPr>
          <w:rFonts w:asciiTheme="majorHAnsi" w:hAnsiTheme="majorHAnsi" w:cstheme="majorHAnsi"/>
          <w:i/>
          <w:sz w:val="20"/>
          <w:szCs w:val="20"/>
        </w:rPr>
        <w:t>predstavujú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výdavky, ktoré súvisia s výkonom týchto činností:</w:t>
      </w:r>
    </w:p>
    <w:p w14:paraId="15B4A478" w14:textId="58F9B9E5" w:rsidR="00911754" w:rsidRPr="00897068" w:rsidRDefault="00911754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riadenie projektu, projektové riadenie, finančné riadenie projektu, monitorovanie projektu,</w:t>
      </w:r>
    </w:p>
    <w:p w14:paraId="2FE2F4EA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právne poradenstvo (napr. spisovanie listín o právnych úkonoch, spracúvanie právnych rozborov),</w:t>
      </w:r>
    </w:p>
    <w:p w14:paraId="30DA8A0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publicita a informovanosť projektu,</w:t>
      </w:r>
    </w:p>
    <w:p w14:paraId="4AEEF4C8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účtovníctva,</w:t>
      </w:r>
    </w:p>
    <w:p w14:paraId="4C317140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agendy personalistiky a miezd,</w:t>
      </w:r>
    </w:p>
    <w:p w14:paraId="1FD280D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verejného obstarávania (vrátane prieskumu trhu),</w:t>
      </w:r>
    </w:p>
    <w:p w14:paraId="69A6653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obslužné činnosti (upratovanie, čistenie, rozmnožovanie materiálov a pod.),</w:t>
      </w:r>
    </w:p>
    <w:p w14:paraId="2F86D5E3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 xml:space="preserve">opravy a údržbu majetku využívaného pre účely projektu, </w:t>
      </w:r>
    </w:p>
    <w:p w14:paraId="62C8418D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vedenie vozidla využívaného personálom projektu,</w:t>
      </w:r>
    </w:p>
    <w:p w14:paraId="3787A121" w14:textId="77777777" w:rsidR="008709D9" w:rsidRPr="00897068" w:rsidRDefault="008709D9" w:rsidP="008709D9">
      <w:pPr>
        <w:pStyle w:val="Odsekzoznamu"/>
        <w:numPr>
          <w:ilvl w:val="0"/>
          <w:numId w:val="9"/>
        </w:numPr>
        <w:spacing w:after="20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97068">
        <w:rPr>
          <w:rFonts w:asciiTheme="majorHAnsi" w:hAnsiTheme="majorHAnsi" w:cstheme="majorHAnsi"/>
          <w:i/>
          <w:sz w:val="20"/>
          <w:szCs w:val="20"/>
        </w:rPr>
        <w:t>kontrola a odborný dohľad (vrátane riadenia organizácie).</w:t>
      </w:r>
    </w:p>
    <w:p w14:paraId="693D3FD5" w14:textId="7FC88148" w:rsidR="008709D9" w:rsidRPr="00853F9D" w:rsidRDefault="008709D9" w:rsidP="008709D9">
      <w:pPr>
        <w:jc w:val="both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Všetky výdavky, ktoré nespĺňajú podmienku zaradenia do kategórie priamych výdavkov na vlastných zamestnancov prijímateľa budú zaradené do kategórie „ostatné výdavky“. Okrem vyššie definovaných nepriamych personálnych výdavkov prijímateľa ide o nasledovné typy výdavkov:</w:t>
      </w:r>
    </w:p>
    <w:p w14:paraId="6DC6CE34" w14:textId="77777777" w:rsidR="008709D9" w:rsidRPr="00853F9D" w:rsidRDefault="008709D9" w:rsidP="008709D9">
      <w:pPr>
        <w:numPr>
          <w:ilvl w:val="0"/>
          <w:numId w:val="10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obstaranie služieb:</w:t>
      </w:r>
    </w:p>
    <w:p w14:paraId="7EE19C72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služby súvisiace s publicitou a informovanosťou spojenou s realizáciou projektu,</w:t>
      </w:r>
    </w:p>
    <w:p w14:paraId="303BAF7C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vedenie účtovníctva,</w:t>
      </w:r>
    </w:p>
    <w:p w14:paraId="7CC7FB70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vedenie agendy personalistiky a miezd,</w:t>
      </w:r>
    </w:p>
    <w:p w14:paraId="1F05FE43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verejného obstarávania, prieskumu trhu,</w:t>
      </w:r>
    </w:p>
    <w:p w14:paraId="43F80C82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externé zabezpečenie hygieny (upratovanie, čistenie a pod.), </w:t>
      </w:r>
    </w:p>
    <w:p w14:paraId="1E04AB99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opráv a údržby majetku využívaného pre účely projektu,</w:t>
      </w:r>
    </w:p>
    <w:p w14:paraId="3437D44A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prepravy tovaru a osôb, okrem osôb cieľovej skupiny a odborného personálu (napr. lektorov),</w:t>
      </w:r>
    </w:p>
    <w:p w14:paraId="5CD7EE34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kontroly a odborného dohľadu,</w:t>
      </w:r>
    </w:p>
    <w:p w14:paraId="62DA1A21" w14:textId="77777777" w:rsidR="008709D9" w:rsidRPr="00853F9D" w:rsidRDefault="008709D9" w:rsidP="008709D9">
      <w:pPr>
        <w:numPr>
          <w:ilvl w:val="1"/>
          <w:numId w:val="11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externé zabezpečenie právneho poradenstva,</w:t>
      </w:r>
    </w:p>
    <w:p w14:paraId="64294AA3" w14:textId="4460C30D" w:rsidR="008709D9" w:rsidRPr="00853F9D" w:rsidRDefault="008709D9" w:rsidP="008709D9">
      <w:pPr>
        <w:numPr>
          <w:ilvl w:val="0"/>
          <w:numId w:val="12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bežné výdavky na obstaranie majetku</w:t>
      </w:r>
      <w:r w:rsidR="00911754" w:rsidRPr="00853F9D"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5"/>
      </w:r>
      <w:r w:rsidRPr="00853F9D">
        <w:rPr>
          <w:rFonts w:asciiTheme="majorHAnsi" w:hAnsiTheme="majorHAnsi" w:cstheme="majorHAnsi"/>
          <w:i/>
          <w:sz w:val="20"/>
          <w:szCs w:val="20"/>
        </w:rPr>
        <w:t>,</w:t>
      </w:r>
    </w:p>
    <w:p w14:paraId="1F214993" w14:textId="77777777" w:rsidR="008709D9" w:rsidRPr="00853F9D" w:rsidRDefault="008709D9" w:rsidP="008709D9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ostatné výdavky:</w:t>
      </w:r>
    </w:p>
    <w:p w14:paraId="5B1057A1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prenájom zariadenia/vybavenia a priestorov, ktoré sú využívané na účely projektu,</w:t>
      </w:r>
    </w:p>
    <w:p w14:paraId="1CFEA36B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všetky výdavky súvisiace s publicitou a informovanosťou spojenou s realizáciou projektu, napr. propagačné predmety a letáky, tlačové konferencie o projekte (vrátane občerstvenia, prenájmu priestorov a pod.), publikovaním článkov o projekte, televíznych a rozhlasových relácií a pod.,</w:t>
      </w:r>
    </w:p>
    <w:p w14:paraId="6FCFF0DF" w14:textId="77777777" w:rsidR="008709D9" w:rsidRPr="00853F9D" w:rsidRDefault="008709D9" w:rsidP="00911754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poštovné a telekomunikačné poplatky,</w:t>
      </w:r>
    </w:p>
    <w:p w14:paraId="1758934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ceniny (poštové známky a kolky, stravné poukážky pre zamestnancov vykonávajúcich činnosti pre projekt),</w:t>
      </w:r>
    </w:p>
    <w:p w14:paraId="3C16AC70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cestovné náhrady pre zamestnancov vykonávajúcich činnosti pre projekt,</w:t>
      </w:r>
    </w:p>
    <w:p w14:paraId="4CE20D84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prevádzku vozidla využívaného pri vykonávaní činnosti pre projekt,</w:t>
      </w:r>
    </w:p>
    <w:p w14:paraId="172D7013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výdavky na energie ako sú voda, plyn, elektrická energia a pod., ktoré vznikli v súvislosti s vykonávanými činnosťami pre projekt, </w:t>
      </w:r>
    </w:p>
    <w:p w14:paraId="45314AB0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odpisy majetku využívaného pri činnostiach projektu,</w:t>
      </w:r>
    </w:p>
    <w:p w14:paraId="0F0B2E3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obstaranie spotrebného tovaru a prevádzkového materiálu (papier, písacie potreby, čistiace prostriedky a pod.),</w:t>
      </w:r>
    </w:p>
    <w:p w14:paraId="3AF89327" w14:textId="48F24BCA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výdavky na úhradu poplatkov</w:t>
      </w:r>
      <w:r w:rsidR="00853F9D" w:rsidRPr="00853F9D">
        <w:rPr>
          <w:rFonts w:asciiTheme="majorHAnsi" w:hAnsiTheme="majorHAnsi" w:cstheme="majorHAnsi"/>
          <w:i/>
          <w:sz w:val="20"/>
          <w:szCs w:val="20"/>
          <w:vertAlign w:val="superscript"/>
        </w:rPr>
        <w:footnoteReference w:id="6"/>
      </w:r>
      <w:r w:rsidRPr="00853F9D">
        <w:rPr>
          <w:rFonts w:asciiTheme="majorHAnsi" w:hAnsiTheme="majorHAnsi" w:cstheme="majorHAnsi"/>
          <w:i/>
          <w:sz w:val="20"/>
          <w:szCs w:val="20"/>
        </w:rPr>
        <w:t>, napr. notárskych, správnych, bankových poplatkov,</w:t>
      </w:r>
    </w:p>
    <w:p w14:paraId="6D320838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lastRenderedPageBreak/>
        <w:t>výdavky na poradenstvo (právne, daňové, účtovné a pod.),</w:t>
      </w:r>
    </w:p>
    <w:p w14:paraId="3372505E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poistenie majetku,</w:t>
      </w:r>
    </w:p>
    <w:p w14:paraId="43820216" w14:textId="77777777" w:rsidR="008709D9" w:rsidRPr="00853F9D" w:rsidRDefault="008709D9" w:rsidP="008709D9">
      <w:pPr>
        <w:numPr>
          <w:ilvl w:val="1"/>
          <w:numId w:val="14"/>
        </w:numPr>
        <w:spacing w:after="0" w:line="240" w:lineRule="auto"/>
        <w:ind w:left="1434" w:hanging="357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>správa informačných systémov.</w:t>
      </w:r>
    </w:p>
    <w:p w14:paraId="6D96DAF5" w14:textId="77777777" w:rsidR="008709D9" w:rsidRPr="00853F9D" w:rsidRDefault="008709D9" w:rsidP="008709D9">
      <w:pPr>
        <w:jc w:val="both"/>
        <w:rPr>
          <w:rFonts w:cstheme="minorHAnsi"/>
          <w:i/>
        </w:rPr>
      </w:pPr>
    </w:p>
    <w:p w14:paraId="4F5AE875" w14:textId="66074BC8" w:rsidR="008709D9" w:rsidRPr="00853F9D" w:rsidRDefault="008709D9" w:rsidP="008709D9">
      <w:pPr>
        <w:spacing w:line="231" w:lineRule="atLeast"/>
        <w:jc w:val="both"/>
        <w:rPr>
          <w:rFonts w:asciiTheme="majorHAnsi" w:hAnsiTheme="majorHAnsi" w:cstheme="majorHAnsi"/>
          <w:i/>
          <w:sz w:val="20"/>
          <w:szCs w:val="20"/>
        </w:rPr>
      </w:pPr>
      <w:r w:rsidRPr="00853F9D">
        <w:rPr>
          <w:rFonts w:asciiTheme="majorHAnsi" w:hAnsiTheme="majorHAnsi" w:cstheme="majorHAnsi"/>
          <w:i/>
          <w:sz w:val="20"/>
          <w:szCs w:val="20"/>
        </w:rPr>
        <w:t xml:space="preserve">RO pre OP EVS </w:t>
      </w:r>
      <w:r w:rsidRPr="00853F9D">
        <w:rPr>
          <w:rFonts w:asciiTheme="majorHAnsi" w:hAnsiTheme="majorHAnsi" w:cstheme="majorHAnsi"/>
          <w:i/>
          <w:sz w:val="20"/>
          <w:szCs w:val="20"/>
          <w:u w:val="single"/>
        </w:rPr>
        <w:t>overuje realizáciu aktivít projektu, plnenie stanovených cieľov a merateľných ukazovateľov projektov,</w:t>
      </w:r>
      <w:r w:rsidRPr="00853F9D">
        <w:rPr>
          <w:rFonts w:asciiTheme="majorHAnsi" w:hAnsiTheme="majorHAnsi" w:cstheme="majorHAnsi"/>
          <w:i/>
          <w:sz w:val="20"/>
          <w:szCs w:val="20"/>
        </w:rPr>
        <w:t xml:space="preserve"> pri ktorých sa uplatňujú procesy zjednodušeného vykazovania výdavkov prostredníctvom štandardných postupov definovaných v</w:t>
      </w:r>
      <w:r w:rsidR="00853F9D">
        <w:rPr>
          <w:rFonts w:asciiTheme="majorHAnsi" w:hAnsiTheme="majorHAnsi" w:cstheme="majorHAnsi"/>
          <w:i/>
          <w:sz w:val="20"/>
          <w:szCs w:val="20"/>
        </w:rPr>
        <w:t> riadiacej dokumentácii OP EVS.</w:t>
      </w:r>
    </w:p>
    <w:p w14:paraId="6D94A94B" w14:textId="77777777" w:rsidR="008709D9" w:rsidRDefault="008709D9" w:rsidP="008709D9">
      <w:pPr>
        <w:jc w:val="both"/>
        <w:rPr>
          <w:rFonts w:cstheme="minorHAnsi"/>
        </w:rPr>
      </w:pPr>
    </w:p>
    <w:p w14:paraId="28120C5E" w14:textId="77777777" w:rsidR="00D37046" w:rsidRPr="00D37046" w:rsidRDefault="00D37046" w:rsidP="00D37046">
      <w:pPr>
        <w:jc w:val="both"/>
        <w:rPr>
          <w:rFonts w:ascii="Times New Roman" w:hAnsi="Times New Roman" w:cs="Times New Roman"/>
        </w:rPr>
      </w:pPr>
    </w:p>
    <w:sectPr w:rsidR="00D37046" w:rsidRPr="00D37046" w:rsidSect="00C016F0">
      <w:headerReference w:type="default" r:id="rId11"/>
      <w:headerReference w:type="first" r:id="rId12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0E1C9" w14:textId="77777777" w:rsidR="00B0124C" w:rsidRDefault="00B0124C" w:rsidP="00534853">
      <w:pPr>
        <w:spacing w:after="0" w:line="240" w:lineRule="auto"/>
      </w:pPr>
      <w:r>
        <w:separator/>
      </w:r>
    </w:p>
  </w:endnote>
  <w:endnote w:type="continuationSeparator" w:id="0">
    <w:p w14:paraId="55AF77EA" w14:textId="77777777" w:rsidR="00B0124C" w:rsidRDefault="00B0124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A537" w14:textId="77777777" w:rsidR="00B0124C" w:rsidRDefault="00B0124C" w:rsidP="00534853">
      <w:pPr>
        <w:spacing w:after="0" w:line="240" w:lineRule="auto"/>
      </w:pPr>
      <w:r>
        <w:separator/>
      </w:r>
    </w:p>
  </w:footnote>
  <w:footnote w:type="continuationSeparator" w:id="0">
    <w:p w14:paraId="1B8DAA26" w14:textId="77777777" w:rsidR="00B0124C" w:rsidRDefault="00B0124C" w:rsidP="00534853">
      <w:pPr>
        <w:spacing w:after="0" w:line="240" w:lineRule="auto"/>
      </w:pPr>
      <w:r>
        <w:continuationSeparator/>
      </w:r>
    </w:p>
  </w:footnote>
  <w:footnote w:id="1">
    <w:p w14:paraId="399626D4" w14:textId="77777777" w:rsidR="00F952C7" w:rsidRPr="00AE19E5" w:rsidRDefault="00F952C7" w:rsidP="00AE19E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Pre personálne výdavky platí, že nesmú presiahnuť výšku obvyklú v danom odbore, čase a mieste a musia byť primerané úlohám a zodpovednostiam osôb zapojených do realizácie projektu. V prípade osobných výdavkov je nevyhnutné, aby žiadateľ/partner rešpektoval odmeňovanie jednotlivých pracovných pozícií s ohľadom na jeho predchádzajúcu mzdovú politiku vrátane vyplatenia odmien. Pri uplatňovaní zjednodušeného vykazovania výdavkov je žiadateľ/partner povinný deklarovať predchádzajúcu mzdovú politiku zamestnávateľa týkajúcej sa miezd a odmien (resp. prémií alebo rôznych variabilných zložiek naviazaných napr. na hospodárske výsledky žiadateľa/partner) prehľadom miezd a odmien, ktorý žiadateľ predložil k záväznému návrhu Rozpočtu projektu, ktorý slúži na určenie výšky paušálnej sadzby. Údaje musia vychádzať z reálnych podkladov (platové dekréty zamestnancov) a musia byť overiteľné v čase odborného hodnotenia </w:t>
      </w:r>
      <w:proofErr w:type="spellStart"/>
      <w:r w:rsidRPr="00AE19E5">
        <w:rPr>
          <w:rFonts w:ascii="Times New Roman" w:hAnsi="Times New Roman" w:cs="Times New Roman"/>
          <w:sz w:val="16"/>
          <w:szCs w:val="16"/>
        </w:rPr>
        <w:t>ŽoNFP</w:t>
      </w:r>
      <w:proofErr w:type="spellEnd"/>
      <w:r w:rsidRPr="00AE19E5">
        <w:rPr>
          <w:rFonts w:ascii="Times New Roman" w:hAnsi="Times New Roman" w:cs="Times New Roman"/>
          <w:sz w:val="16"/>
          <w:szCs w:val="16"/>
        </w:rPr>
        <w:t xml:space="preserve">, ako aj v priebehu implementácie projektu. </w:t>
      </w:r>
    </w:p>
    <w:p w14:paraId="6E1770F7" w14:textId="63E516A7" w:rsidR="008709D9" w:rsidRPr="00AE19E5" w:rsidRDefault="008709D9" w:rsidP="00AE19E5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Fonts w:ascii="Times New Roman" w:hAnsi="Times New Roman" w:cs="Times New Roman"/>
          <w:sz w:val="16"/>
          <w:szCs w:val="16"/>
        </w:rPr>
        <w:t>V prípade, že subjekt žiadateľa alebo partnera nedisponuje príslušnou alebo dostatočnou evidenciou pre spracovanie predchádzajúcej mzdovej politiky zamestnávateľa môže pre určenie oprávnenej výšky výdavkov použiť overiteľné údaje iného zamestnávateľa</w:t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(tretieho subjektu)</w:t>
      </w:r>
      <w:r w:rsidRPr="00AE19E5">
        <w:rPr>
          <w:rFonts w:ascii="Times New Roman" w:hAnsi="Times New Roman" w:cs="Times New Roman"/>
          <w:sz w:val="16"/>
          <w:szCs w:val="16"/>
        </w:rPr>
        <w:t>, ktorý je subjektom založeným v rovnakom právnom režime (mesto alebo obec) a zároveň je rovnako územne lokalizovaný ako subjekt žiadateľa / prijímateľa (napr. v úrovni okresu).</w:t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V rámci mzdovej politiky zamestnávateľa je potrebné potom označiť údaje tretieho subjektu a zároveň musí žiadateľ / prijímateľ disponovať písomným potvrdením tretieho subjektu s vyhlásením o pravdivosti poskytnutých údajov.</w:t>
      </w:r>
    </w:p>
  </w:footnote>
  <w:footnote w:id="2">
    <w:p w14:paraId="17BCC594" w14:textId="5AD8D2BB" w:rsidR="008709D9" w:rsidRPr="00AE19E5" w:rsidRDefault="008709D9" w:rsidP="00AE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Uvedené</w:t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pracovné</w:t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="00AE19E5" w:rsidRPr="00AE19E5">
        <w:rPr>
          <w:rFonts w:ascii="Times New Roman" w:hAnsi="Times New Roman" w:cs="Times New Roman"/>
          <w:sz w:val="16"/>
          <w:szCs w:val="16"/>
        </w:rPr>
        <w:t>pozície</w:t>
      </w:r>
      <w:r w:rsidRPr="00AE19E5">
        <w:rPr>
          <w:rFonts w:ascii="Times New Roman" w:hAnsi="Times New Roman" w:cs="Times New Roman"/>
          <w:sz w:val="16"/>
          <w:szCs w:val="16"/>
        </w:rPr>
        <w:t xml:space="preserve"> je možné vykonávať výlučne na základe pracovn</w:t>
      </w:r>
      <w:r w:rsidR="00CB0FC3">
        <w:rPr>
          <w:rFonts w:ascii="Times New Roman" w:hAnsi="Times New Roman" w:cs="Times New Roman"/>
          <w:sz w:val="16"/>
          <w:szCs w:val="16"/>
        </w:rPr>
        <w:t>ého</w:t>
      </w:r>
      <w:r w:rsidRPr="00AE19E5">
        <w:rPr>
          <w:rFonts w:ascii="Times New Roman" w:hAnsi="Times New Roman" w:cs="Times New Roman"/>
          <w:sz w:val="16"/>
          <w:szCs w:val="16"/>
        </w:rPr>
        <w:t xml:space="preserve"> pomer</w:t>
      </w:r>
      <w:r w:rsidR="00CB0FC3">
        <w:rPr>
          <w:rFonts w:ascii="Times New Roman" w:hAnsi="Times New Roman" w:cs="Times New Roman"/>
          <w:sz w:val="16"/>
          <w:szCs w:val="16"/>
        </w:rPr>
        <w:t>u</w:t>
      </w:r>
      <w:r w:rsidRPr="00AE19E5">
        <w:rPr>
          <w:rFonts w:ascii="Times New Roman" w:hAnsi="Times New Roman" w:cs="Times New Roman"/>
          <w:sz w:val="16"/>
          <w:szCs w:val="16"/>
        </w:rPr>
        <w:t>, alebo obdobného pracovného vzťahu (štátnozamestnanecký pomer</w:t>
      </w:r>
      <w:r w:rsidR="00CB0FC3">
        <w:rPr>
          <w:rFonts w:ascii="Times New Roman" w:hAnsi="Times New Roman" w:cs="Times New Roman"/>
          <w:sz w:val="16"/>
          <w:szCs w:val="16"/>
        </w:rPr>
        <w:t>)</w:t>
      </w:r>
      <w:r w:rsidRPr="00AE19E5">
        <w:rPr>
          <w:rFonts w:ascii="Times New Roman" w:hAnsi="Times New Roman" w:cs="Times New Roman"/>
          <w:sz w:val="16"/>
          <w:szCs w:val="16"/>
        </w:rPr>
        <w:t>,</w:t>
      </w:r>
    </w:p>
  </w:footnote>
  <w:footnote w:id="3">
    <w:p w14:paraId="65731B24" w14:textId="77777777" w:rsidR="008709D9" w:rsidRPr="00AE19E5" w:rsidRDefault="008709D9" w:rsidP="00AE19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Pr="00AE19E5">
        <w:rPr>
          <w:rFonts w:ascii="Times New Roman" w:hAnsi="Times New Roman" w:cs="Times New Roman"/>
          <w:sz w:val="16"/>
          <w:szCs w:val="16"/>
        </w:rPr>
        <w:t>Napríklad výkon auditu v súlade čl. 75 ods. 2, čl. 125 ods. 4 písm. c) nariadenia (EÚ) č. 1303/2013 v platnom znení.</w:t>
      </w:r>
    </w:p>
  </w:footnote>
  <w:footnote w:id="4">
    <w:p w14:paraId="0BE531E3" w14:textId="7709D406" w:rsidR="008709D9" w:rsidRPr="00AE19E5" w:rsidRDefault="008709D9" w:rsidP="00AE19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9E5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AE19E5" w:rsidRPr="00AE19E5">
        <w:rPr>
          <w:rFonts w:ascii="Times New Roman" w:hAnsi="Times New Roman" w:cs="Times New Roman"/>
          <w:sz w:val="16"/>
          <w:szCs w:val="16"/>
        </w:rPr>
        <w:t xml:space="preserve"> </w:t>
      </w:r>
      <w:r w:rsidRPr="00AE19E5">
        <w:rPr>
          <w:rFonts w:ascii="Times New Roman" w:hAnsi="Times New Roman" w:cs="Times New Roman"/>
          <w:sz w:val="16"/>
          <w:szCs w:val="16"/>
        </w:rPr>
        <w:t>Najmä zákon č. </w:t>
      </w:r>
      <w:hyperlink r:id="rId1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343/2015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o verejnom obstarávaní a o zmene a doplnení niektorých zákonov v znení neskorších predpisov, zákon č. </w:t>
      </w:r>
      <w:hyperlink r:id="rId2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431/2002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o účtovníctve v znení neskorších predpisov, zákon č. </w:t>
      </w:r>
      <w:hyperlink r:id="rId3" w:tooltip="Odkaz na predpis alebo ustanovenie" w:history="1">
        <w:r w:rsidRPr="00AE19E5">
          <w:rPr>
            <w:rFonts w:ascii="Times New Roman" w:hAnsi="Times New Roman" w:cs="Times New Roman"/>
            <w:sz w:val="16"/>
            <w:szCs w:val="16"/>
          </w:rPr>
          <w:t>523/2004 Z. z.</w:t>
        </w:r>
      </w:hyperlink>
      <w:r w:rsidRPr="00AE19E5">
        <w:rPr>
          <w:rFonts w:ascii="Times New Roman" w:hAnsi="Times New Roman" w:cs="Times New Roman"/>
          <w:sz w:val="16"/>
          <w:szCs w:val="16"/>
        </w:rPr>
        <w:t> v znení neskorších predpisov.</w:t>
      </w:r>
    </w:p>
  </w:footnote>
  <w:footnote w:id="5">
    <w:p w14:paraId="4F279ADF" w14:textId="3B3EF0CB" w:rsidR="00911754" w:rsidRPr="00911754" w:rsidRDefault="00911754" w:rsidP="009117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20"/>
          <w:vertAlign w:val="superscript"/>
        </w:rPr>
        <w:footnoteRef/>
      </w:r>
      <w:r>
        <w:rPr>
          <w:sz w:val="16"/>
          <w:szCs w:val="20"/>
        </w:rPr>
        <w:t xml:space="preserve"> </w:t>
      </w:r>
      <w:r w:rsidRPr="00911754">
        <w:rPr>
          <w:rFonts w:ascii="Times New Roman" w:hAnsi="Times New Roman" w:cs="Times New Roman"/>
          <w:sz w:val="16"/>
          <w:szCs w:val="16"/>
        </w:rPr>
        <w:t>Majetok nesmie predstavovať „infraštruktúru“, ktorou je hmotný majetok trvalej povahy, ktorý spĺňa nasledovné podmienky:</w:t>
      </w:r>
    </w:p>
    <w:p w14:paraId="3D6D42FD" w14:textId="77777777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má nehnuteľný (nepohyblivý) charakter (je buď trvale spojený so zemou alebo s majetkom, ktorý je trvale spojený so zemou, v tomto prípade stráca svoju identitu prostredníctvom spojenia a stáva sa súčasťou nehnuteľného majetku s ktorým je spojený);</w:t>
      </w:r>
    </w:p>
    <w:p w14:paraId="23AFC5EB" w14:textId="34643FE1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za normálnych podmienok použitia (vrátane primeranej starostlivosti a údržby) má neobmedzenú dobu použitia;</w:t>
      </w:r>
    </w:p>
    <w:p w14:paraId="29489254" w14:textId="2A93A4DB" w:rsidR="00911754" w:rsidRPr="00911754" w:rsidRDefault="00911754" w:rsidP="00911754">
      <w:pPr>
        <w:pStyle w:val="Odsekzoznamu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911754">
        <w:rPr>
          <w:rFonts w:ascii="Times New Roman" w:hAnsi="Times New Roman" w:cs="Times New Roman"/>
          <w:sz w:val="16"/>
          <w:szCs w:val="16"/>
        </w:rPr>
        <w:t>aj napriek používaniu si uchováva pôvodný tvar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911754">
        <w:rPr>
          <w:rFonts w:ascii="Times New Roman" w:hAnsi="Times New Roman" w:cs="Times New Roman"/>
          <w:sz w:val="16"/>
          <w:szCs w:val="16"/>
        </w:rPr>
        <w:t>vzhľad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60225EB4" w14:textId="77777777" w:rsidR="00911754" w:rsidRDefault="00911754" w:rsidP="00911754">
      <w:pPr>
        <w:pStyle w:val="Textpoznmkypodiarou"/>
        <w:jc w:val="both"/>
        <w:rPr>
          <w:rFonts w:cs="Times New Roman"/>
          <w:sz w:val="16"/>
          <w:lang w:val="en-US"/>
        </w:rPr>
      </w:pPr>
      <w:r w:rsidRPr="00911754">
        <w:rPr>
          <w:rFonts w:ascii="Times New Roman" w:hAnsi="Times New Roman" w:cs="Times New Roman"/>
          <w:sz w:val="16"/>
          <w:szCs w:val="16"/>
        </w:rPr>
        <w:t>Nehmotný majetok (majetok nemateriálnej povahy) ako je napríklad softvér, IT systémy nespadá do definície infraštruktúry. Tento majetok je oprávnený na financovanie z ESF, nakoľko je vylúčený z definície neoprávnených výdavkov uvedených v čl. 13 ods. 4 nariadenia o ESF.</w:t>
      </w:r>
    </w:p>
  </w:footnote>
  <w:footnote w:id="6">
    <w:p w14:paraId="5096725C" w14:textId="44A3DFE7" w:rsidR="00853F9D" w:rsidRDefault="00853F9D" w:rsidP="00853F9D">
      <w:pPr>
        <w:tabs>
          <w:tab w:val="left" w:pos="284"/>
        </w:tabs>
        <w:spacing w:after="0"/>
        <w:ind w:left="284" w:hanging="284"/>
        <w:jc w:val="both"/>
        <w:rPr>
          <w:sz w:val="16"/>
          <w:szCs w:val="20"/>
        </w:rPr>
      </w:pPr>
      <w:r>
        <w:rPr>
          <w:sz w:val="16"/>
          <w:szCs w:val="20"/>
          <w:vertAlign w:val="superscript"/>
        </w:rPr>
        <w:footnoteRef/>
      </w: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>Poplatky nesmú predstavovať nasledujúce kategórie nákladov:</w:t>
      </w:r>
    </w:p>
    <w:p w14:paraId="356A1762" w14:textId="290A5980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úroky z dlžných súm;</w:t>
      </w:r>
    </w:p>
    <w:p w14:paraId="420FEAF6" w14:textId="0D184BA9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daň z pridanej hodnoty (DPH) v prípade, že prijímateľ má nárok na jej odpočet na vstupe. Nárok na odpočet je vymedzený zákonom č. 222/2004 Z. z. o dani z pridanej hodnoty (ďalej len „zákon o DPH“). Oprávnená DPH sa vzťahuje len k plneniam, ktoré sú považované za oprávnené. V prípade, ak je výdavok oprávnený iba čiastočne, daň z pridanej hodnoty vzťahujúca sa k tomuto výdavku je oprávneným výdavkom v rovnakom pomere. Akákoľvek činnosť vykonávaná počas realizácie projektu, resp. po jeho ukončení súvisiaca s nadobudnutím/zhodnotením majetku z prostriedkov EŠIF, ktorá bude potenciálne generovať zdaniteľné príjmy (napr. vedecko-výskumná činnosť za odplatu) zakladá prijímateľovi povinnosť odvádzať DPH, t. j. vznikne povinnosť prijímateľa uplatňovať voči daňovému úradu odpočet dane. V takomto prípade bude DPH (uhradená v rámci implementácie projektu ako oprávnený výdavok) spätne za obdobie realizácie projektu považovaná za neoprávnenú v rozsahu aktivít, z ktorých plynú zdaniteľné príjmy;</w:t>
      </w:r>
    </w:p>
    <w:p w14:paraId="77B5A978" w14:textId="781B42CC" w:rsidR="00853F9D" w:rsidRPr="00853F9D" w:rsidRDefault="00853F9D" w:rsidP="00853F9D">
      <w:pPr>
        <w:numPr>
          <w:ilvl w:val="1"/>
          <w:numId w:val="15"/>
        </w:numPr>
        <w:spacing w:after="0" w:line="240" w:lineRule="auto"/>
        <w:ind w:left="567" w:hanging="447"/>
        <w:jc w:val="both"/>
        <w:rPr>
          <w:sz w:val="16"/>
          <w:szCs w:val="20"/>
        </w:rPr>
      </w:pPr>
      <w:r w:rsidRPr="00853F9D">
        <w:rPr>
          <w:sz w:val="16"/>
          <w:szCs w:val="20"/>
        </w:rPr>
        <w:t>náklady sankčného charakteru vrátane súvisiacich výdavkov (pokuty, penále, vrátane zmluvných, výdavky na trovy konania a pod.);</w:t>
      </w:r>
    </w:p>
    <w:p w14:paraId="1E862EC7" w14:textId="62641876" w:rsidR="00853F9D" w:rsidRDefault="00853F9D" w:rsidP="00853F9D">
      <w:pPr>
        <w:pStyle w:val="Textpoznmkypodiarou"/>
        <w:jc w:val="both"/>
        <w:rPr>
          <w:rFonts w:cs="Times New Roman"/>
          <w:sz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6E1098E6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</w:t>
    </w:r>
    <w:r w:rsidR="00734334">
      <w:rPr>
        <w:rFonts w:ascii="Times New Roman" w:hAnsi="Times New Roman" w:cs="Times New Roman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0DB0"/>
    <w:multiLevelType w:val="hybridMultilevel"/>
    <w:tmpl w:val="87D8C8CA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614"/>
    <w:multiLevelType w:val="hybridMultilevel"/>
    <w:tmpl w:val="A5BC96A0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59B5"/>
    <w:multiLevelType w:val="hybridMultilevel"/>
    <w:tmpl w:val="7E2C0300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761AB"/>
    <w:multiLevelType w:val="hybridMultilevel"/>
    <w:tmpl w:val="394686E4"/>
    <w:lvl w:ilvl="0" w:tplc="B492B3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748"/>
    <w:multiLevelType w:val="hybridMultilevel"/>
    <w:tmpl w:val="3988954C"/>
    <w:lvl w:ilvl="0" w:tplc="E4264C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357F"/>
    <w:multiLevelType w:val="hybridMultilevel"/>
    <w:tmpl w:val="17EAAA44"/>
    <w:lvl w:ilvl="0" w:tplc="041B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55550"/>
    <w:multiLevelType w:val="hybridMultilevel"/>
    <w:tmpl w:val="36107D1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Theme="minorHAnsi" w:hAnsi="Verdana" w:cstheme="minorBidi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546B3"/>
    <w:multiLevelType w:val="hybridMultilevel"/>
    <w:tmpl w:val="E48EA3D8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E4264C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Theme="minorHAnsi" w:hAnsi="Verdana" w:cstheme="minorBidi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039D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858FC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4334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3F9D"/>
    <w:rsid w:val="00856FB7"/>
    <w:rsid w:val="00857013"/>
    <w:rsid w:val="008709D9"/>
    <w:rsid w:val="00885D68"/>
    <w:rsid w:val="00892B09"/>
    <w:rsid w:val="00896BF8"/>
    <w:rsid w:val="0089706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1754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098E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19E5"/>
    <w:rsid w:val="00AE5181"/>
    <w:rsid w:val="00AF3264"/>
    <w:rsid w:val="00B0124C"/>
    <w:rsid w:val="00B05E57"/>
    <w:rsid w:val="00B06F66"/>
    <w:rsid w:val="00B330D2"/>
    <w:rsid w:val="00B37597"/>
    <w:rsid w:val="00B40DA2"/>
    <w:rsid w:val="00B76FA9"/>
    <w:rsid w:val="00B80EB5"/>
    <w:rsid w:val="00B91F63"/>
    <w:rsid w:val="00B95E2B"/>
    <w:rsid w:val="00BA480B"/>
    <w:rsid w:val="00BA4C89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16F0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0FC3"/>
    <w:rsid w:val="00CB2EC3"/>
    <w:rsid w:val="00CD1747"/>
    <w:rsid w:val="00CE3ECA"/>
    <w:rsid w:val="00CE6D4F"/>
    <w:rsid w:val="00CF2AC0"/>
    <w:rsid w:val="00CF627E"/>
    <w:rsid w:val="00D05BAD"/>
    <w:rsid w:val="00D278FF"/>
    <w:rsid w:val="00D37046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952C7"/>
    <w:rsid w:val="00FA65E0"/>
    <w:rsid w:val="00FB2567"/>
    <w:rsid w:val="00FC047F"/>
    <w:rsid w:val="00FC3881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87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4/523/" TargetMode="External"/><Relationship Id="rId2" Type="http://schemas.openxmlformats.org/officeDocument/2006/relationships/hyperlink" Target="https://www.slov-lex.sk/pravne-predpisy/SK/ZZ/2002/431/" TargetMode="External"/><Relationship Id="rId1" Type="http://schemas.openxmlformats.org/officeDocument/2006/relationships/hyperlink" Target="https://www.slov-lex.sk/pravne-predpisy/SK/ZZ/2015/343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f68beb4-40f4-4a69-a992-d7c992f59b2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75EF02-E50D-4476-A3C5-539BE69B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5A8BA-8E49-44B8-B8B7-5651003C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Milan Matovič</cp:lastModifiedBy>
  <cp:revision>29</cp:revision>
  <cp:lastPrinted>2021-09-14T07:25:00Z</cp:lastPrinted>
  <dcterms:created xsi:type="dcterms:W3CDTF">2017-03-27T08:54:00Z</dcterms:created>
  <dcterms:modified xsi:type="dcterms:W3CDTF">2021-09-14T07:26:00Z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