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vyplnený formulár „Oznámenie o vysporiadaní finančných vzťahov“, a to do desiatich kalendárnych dní odo dňa uskutočnenia úhrady prostriedkov 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 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Podpis: .......................................</w:t>
      </w:r>
    </w:p>
    <w:p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Príloha: 1. Kópia/odpis notárskej zápisnice</w:t>
      </w:r>
    </w:p>
    <w:p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:rsidR="006B279B" w:rsidRDefault="006B279B"/>
    <w:sectPr w:rsidR="006B279B" w:rsidSect="000415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0AA" w:rsidRDefault="002C30AA" w:rsidP="00041583">
      <w:pPr>
        <w:spacing w:after="0" w:line="240" w:lineRule="auto"/>
      </w:pPr>
      <w:r>
        <w:separator/>
      </w:r>
    </w:p>
  </w:endnote>
  <w:endnote w:type="continuationSeparator" w:id="0">
    <w:p w:rsidR="002C30AA" w:rsidRDefault="002C30AA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838" w:rsidRDefault="000E58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838" w:rsidRDefault="000E583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Príručka pre prijímateľa OP EVS</w:t>
    </w:r>
  </w:p>
  <w:p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verzia č. 1.0</w:t>
    </w:r>
  </w:p>
  <w:p w:rsidR="000E5838" w:rsidRP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20"/>
        <w:szCs w:val="20"/>
      </w:rPr>
      <w:t xml:space="preserve">platná k </w:t>
    </w:r>
    <w:r>
      <w:rPr>
        <w:rFonts w:ascii="Times New Roman" w:hAnsi="Times New Roman"/>
        <w:i/>
        <w:sz w:val="20"/>
        <w:szCs w:val="20"/>
      </w:rPr>
      <w:t xml:space="preserve">11.11.2015 a účinná k </w:t>
    </w:r>
    <w:bookmarkStart w:id="0" w:name="_GoBack"/>
    <w:bookmarkEnd w:id="0"/>
    <w:r>
      <w:rPr>
        <w:rFonts w:ascii="Times New Roman" w:hAnsi="Times New Roman"/>
        <w:i/>
        <w:sz w:val="20"/>
        <w:szCs w:val="20"/>
      </w:rPr>
      <w:t>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0AA" w:rsidRDefault="002C30AA" w:rsidP="00041583">
      <w:pPr>
        <w:spacing w:after="0" w:line="240" w:lineRule="auto"/>
      </w:pPr>
      <w:r>
        <w:separator/>
      </w:r>
    </w:p>
  </w:footnote>
  <w:footnote w:type="continuationSeparator" w:id="0">
    <w:p w:rsidR="002C30AA" w:rsidRDefault="002C30AA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838" w:rsidRDefault="000E58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838" w:rsidRDefault="000E583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41583"/>
    <w:rsid w:val="000E5838"/>
    <w:rsid w:val="002C30AA"/>
    <w:rsid w:val="006B279B"/>
    <w:rsid w:val="00D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5EBC6-D4DE-4DC7-8E3D-362E6C1B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179E-B31C-44C0-A2E3-FEC9744BC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32469F-E499-4FBF-BCDA-A603C1DDA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C8EF1-C50C-47B7-A003-C6C973899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Rudolf Hrudkay</cp:lastModifiedBy>
  <cp:revision>3</cp:revision>
  <dcterms:created xsi:type="dcterms:W3CDTF">2015-11-05T08:09:00Z</dcterms:created>
  <dcterms:modified xsi:type="dcterms:W3CDTF">2015-11-11T08:42:00Z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