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682642F7" w:rsidR="00FF5CFA" w:rsidRPr="00F1107F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 w:rsidRPr="00F1107F">
        <w:rPr>
          <w:rFonts w:ascii="Times New Roman" w:hAnsi="Times New Roman"/>
          <w:i/>
          <w:sz w:val="20"/>
          <w:szCs w:val="20"/>
        </w:rPr>
        <w:t>P</w:t>
      </w:r>
      <w:r w:rsidR="001776D3" w:rsidRPr="00F1107F">
        <w:rPr>
          <w:rFonts w:ascii="Times New Roman" w:hAnsi="Times New Roman"/>
          <w:i/>
          <w:sz w:val="20"/>
          <w:szCs w:val="20"/>
        </w:rPr>
        <w:t>ríloha</w:t>
      </w:r>
      <w:proofErr w:type="spellEnd"/>
      <w:r w:rsidR="001776D3" w:rsidRPr="00F1107F">
        <w:rPr>
          <w:rFonts w:ascii="Times New Roman" w:hAnsi="Times New Roman"/>
          <w:i/>
          <w:sz w:val="20"/>
          <w:szCs w:val="20"/>
        </w:rPr>
        <w:t xml:space="preserve"> č. </w:t>
      </w:r>
      <w:r w:rsidR="001F435B" w:rsidRPr="00F1107F">
        <w:rPr>
          <w:rFonts w:ascii="Times New Roman" w:hAnsi="Times New Roman"/>
          <w:i/>
          <w:sz w:val="20"/>
          <w:szCs w:val="20"/>
        </w:rPr>
        <w:t>31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70579860" w:rsidR="00523A3D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2316E3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k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možným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porušeniam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zákona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ochrane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súťaže</w:t>
      </w:r>
      <w:proofErr w:type="spellEnd"/>
      <w:r>
        <w:rPr>
          <w:rStyle w:val="Odkaznapoznmkupodiarou"/>
          <w:rFonts w:cstheme="minorHAnsi"/>
          <w:b/>
          <w:szCs w:val="19"/>
        </w:rPr>
        <w:footnoteReference w:id="2"/>
      </w:r>
    </w:p>
    <w:p w14:paraId="214A3BB4" w14:textId="77777777" w:rsidR="002316E3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789B451B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316E3">
        <w:rPr>
          <w:rFonts w:asciiTheme="minorHAnsi" w:hAnsiTheme="minorHAnsi" w:cstheme="minorHAnsi"/>
          <w:szCs w:val="19"/>
        </w:rPr>
        <w:t>Rizikové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indikátory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ktoré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ďalej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uvedené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neznamenajú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sami</w:t>
      </w:r>
      <w:proofErr w:type="spellEnd"/>
      <w:proofErr w:type="gram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sebe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dôkaz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porušení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súťaže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alebo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porušenia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ZVO. </w:t>
      </w:r>
      <w:proofErr w:type="spellStart"/>
      <w:r w:rsidRPr="002316E3">
        <w:rPr>
          <w:rFonts w:asciiTheme="minorHAnsi" w:hAnsiTheme="minorHAnsi" w:cstheme="minorHAnsi"/>
          <w:szCs w:val="19"/>
        </w:rPr>
        <w:t>Sú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však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situáciami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ktoré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zvyšujú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pravdepodobnosť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2316E3">
        <w:rPr>
          <w:rFonts w:asciiTheme="minorHAnsi" w:hAnsiTheme="minorHAnsi" w:cstheme="minorHAnsi"/>
          <w:szCs w:val="19"/>
        </w:rPr>
        <w:t>rámci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daného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zadávania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zákazky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mohlo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dôjsť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2316E3">
        <w:rPr>
          <w:rFonts w:asciiTheme="minorHAnsi" w:hAnsiTheme="minorHAnsi" w:cstheme="minorHAnsi"/>
          <w:szCs w:val="19"/>
        </w:rPr>
        <w:t>protiprávnemu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konaniu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. </w:t>
      </w:r>
      <w:proofErr w:type="spellStart"/>
      <w:r w:rsidRPr="002316E3">
        <w:rPr>
          <w:rFonts w:asciiTheme="minorHAnsi" w:hAnsiTheme="minorHAnsi" w:cstheme="minorHAnsi"/>
          <w:szCs w:val="19"/>
        </w:rPr>
        <w:t>Pokiaľ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určitý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rizikový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indikátor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sám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sebe</w:t>
      </w:r>
      <w:proofErr w:type="spellEnd"/>
      <w:proofErr w:type="gram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znamená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porušenie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ZVO, </w:t>
      </w:r>
      <w:proofErr w:type="spellStart"/>
      <w:r w:rsidRPr="002316E3">
        <w:rPr>
          <w:rFonts w:asciiTheme="minorHAnsi" w:hAnsiTheme="minorHAnsi" w:cstheme="minorHAnsi"/>
          <w:szCs w:val="19"/>
        </w:rPr>
        <w:t>nepotvrdenie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skutočnosti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porušení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súťaže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nemá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vplyv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konštatovanie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porušení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ZVO. </w:t>
      </w:r>
      <w:proofErr w:type="spellStart"/>
      <w:r w:rsidRPr="002316E3">
        <w:rPr>
          <w:rFonts w:asciiTheme="minorHAnsi" w:hAnsiTheme="minorHAnsi" w:cstheme="minorHAnsi"/>
          <w:szCs w:val="19"/>
        </w:rPr>
        <w:t>Tento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zoznam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2316E3">
        <w:rPr>
          <w:rFonts w:asciiTheme="minorHAnsi" w:hAnsiTheme="minorHAnsi" w:cstheme="minorHAnsi"/>
          <w:szCs w:val="19"/>
        </w:rPr>
        <w:t>vyčerpávajúcim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súhrnom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všetkých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rizikových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situácií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. </w:t>
      </w:r>
    </w:p>
    <w:p w14:paraId="5C9C5A28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7B721BA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316E3">
        <w:rPr>
          <w:rFonts w:asciiTheme="minorHAnsi" w:hAnsiTheme="minorHAnsi" w:cstheme="minorHAnsi"/>
          <w:szCs w:val="19"/>
        </w:rPr>
        <w:t>Odporúčame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prijímateľovi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resp. </w:t>
      </w:r>
      <w:proofErr w:type="spellStart"/>
      <w:r w:rsidRPr="002316E3">
        <w:rPr>
          <w:rFonts w:asciiTheme="minorHAnsi" w:hAnsiTheme="minorHAnsi" w:cstheme="minorHAnsi"/>
          <w:szCs w:val="19"/>
        </w:rPr>
        <w:t>osobám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ktoré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poveril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výkonom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VO a </w:t>
      </w:r>
      <w:proofErr w:type="spellStart"/>
      <w:r w:rsidRPr="002316E3">
        <w:rPr>
          <w:rFonts w:asciiTheme="minorHAnsi" w:hAnsiTheme="minorHAnsi" w:cstheme="minorHAnsi"/>
          <w:szCs w:val="19"/>
        </w:rPr>
        <w:t>tiež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členom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komisie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oboznámiť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2316E3">
        <w:rPr>
          <w:rFonts w:asciiTheme="minorHAnsi" w:hAnsiTheme="minorHAnsi" w:cstheme="minorHAnsi"/>
          <w:szCs w:val="19"/>
        </w:rPr>
        <w:t>rizikovými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indikátormi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316E3">
        <w:rPr>
          <w:rFonts w:asciiTheme="minorHAnsi" w:hAnsiTheme="minorHAnsi" w:cstheme="minorHAnsi"/>
          <w:szCs w:val="19"/>
        </w:rPr>
        <w:t>ďalšie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činnosti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 </w:t>
      </w:r>
      <w:proofErr w:type="spellStart"/>
      <w:r w:rsidRPr="002316E3">
        <w:rPr>
          <w:rFonts w:asciiTheme="minorHAnsi" w:hAnsiTheme="minorHAnsi" w:cstheme="minorHAnsi"/>
          <w:szCs w:val="19"/>
        </w:rPr>
        <w:t>vykonávať</w:t>
      </w:r>
      <w:proofErr w:type="spellEnd"/>
      <w:proofErr w:type="gramEnd"/>
      <w:r w:rsidRPr="002316E3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2316E3">
        <w:rPr>
          <w:rFonts w:asciiTheme="minorHAnsi" w:hAnsiTheme="minorHAnsi" w:cstheme="minorHAnsi"/>
          <w:szCs w:val="19"/>
        </w:rPr>
        <w:t>ohľadom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dostatočné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využitie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tejto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vedomosti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. </w:t>
      </w:r>
    </w:p>
    <w:p w14:paraId="753B9515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7E11C04" w14:textId="4795E5C4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316E3">
        <w:rPr>
          <w:rFonts w:asciiTheme="minorHAnsi" w:hAnsiTheme="minorHAnsi" w:cstheme="minorHAnsi"/>
          <w:szCs w:val="19"/>
        </w:rPr>
        <w:t>Upozorňujeme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prijímateľa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potvrdenie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porušenia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zákona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ochrane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súťaže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môže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predstavovať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prekážku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2316E3">
        <w:rPr>
          <w:rFonts w:asciiTheme="minorHAnsi" w:hAnsiTheme="minorHAnsi" w:cstheme="minorHAnsi"/>
          <w:szCs w:val="19"/>
        </w:rPr>
        <w:t>ďalšom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spolufinancovaní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predmetného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verejného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obstarávania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strany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poskytovateľa</w:t>
      </w:r>
      <w:proofErr w:type="spellEnd"/>
      <w:r w:rsidRPr="002316E3">
        <w:rPr>
          <w:rFonts w:asciiTheme="minorHAnsi" w:hAnsiTheme="minorHAnsi" w:cstheme="minorHAnsi"/>
          <w:szCs w:val="19"/>
        </w:rPr>
        <w:t>.</w:t>
      </w:r>
    </w:p>
    <w:p w14:paraId="09D33DB2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7F27AE8" w14:textId="1430DAD0" w:rsid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Zoznam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rizikových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indikátorov</w:t>
      </w:r>
      <w:proofErr w:type="spellEnd"/>
      <w:r>
        <w:rPr>
          <w:rFonts w:asciiTheme="minorHAnsi" w:hAnsiTheme="minorHAnsi" w:cstheme="minorHAnsi"/>
          <w:szCs w:val="19"/>
        </w:rPr>
        <w:t>:</w:t>
      </w:r>
    </w:p>
    <w:p w14:paraId="1EAAA962" w14:textId="77777777" w:rsidR="0013284C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Deloittetable1"/>
        <w:tblW w:w="0" w:type="auto"/>
        <w:tblBorders>
          <w:left w:val="single" w:sz="4" w:space="0" w:color="92D400"/>
          <w:right w:val="single" w:sz="4" w:space="0" w:color="92D400"/>
          <w:insideV w:val="single" w:sz="4" w:space="0" w:color="92D400"/>
        </w:tblBorders>
        <w:tblLook w:val="04A0" w:firstRow="1" w:lastRow="0" w:firstColumn="1" w:lastColumn="0" w:noHBand="0" w:noVBand="1"/>
      </w:tblPr>
      <w:tblGrid>
        <w:gridCol w:w="454"/>
        <w:gridCol w:w="4394"/>
        <w:gridCol w:w="4278"/>
      </w:tblGrid>
      <w:tr w:rsidR="0013284C" w14:paraId="6FEC8631" w14:textId="77777777" w:rsidTr="00132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70ABE72" w14:textId="4906C040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P.č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6238E07F" w14:textId="2DD3DAF1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Názov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rizikového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indikátora</w:t>
            </w:r>
            <w:proofErr w:type="spellEnd"/>
          </w:p>
        </w:tc>
        <w:tc>
          <w:tcPr>
            <w:tcW w:w="4278" w:type="dxa"/>
            <w:vAlign w:val="center"/>
          </w:tcPr>
          <w:p w14:paraId="3B09541C" w14:textId="7743A97B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Popis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rizikového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indikátora</w:t>
            </w:r>
            <w:proofErr w:type="spellEnd"/>
          </w:p>
        </w:tc>
      </w:tr>
      <w:tr w:rsidR="0013284C" w14:paraId="023F4ADA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FE505B4" w14:textId="1BB242BC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394" w:type="dxa"/>
            <w:vAlign w:val="center"/>
          </w:tcPr>
          <w:p w14:paraId="7018A6A0" w14:textId="3B91425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Rotácia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podľa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regiónu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typu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služby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tovaru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práce</w:t>
            </w:r>
            <w:proofErr w:type="spellEnd"/>
          </w:p>
        </w:tc>
        <w:tc>
          <w:tcPr>
            <w:tcW w:w="4278" w:type="dxa"/>
            <w:vAlign w:val="center"/>
          </w:tcPr>
          <w:p w14:paraId="7CBD38F7" w14:textId="48089193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skupiny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podávajúcich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zloženie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súťažiach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takmer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vyhodnotený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vždy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úspešnosť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možné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odvodiť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záujmu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realizovať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zákazku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určitom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regióne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určitého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typu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služby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tovaru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práce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pod.</w:t>
            </w:r>
          </w:p>
        </w:tc>
      </w:tr>
      <w:tr w:rsidR="0013284C" w14:paraId="70EA7E2F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1274F0E" w14:textId="20B6F9EB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394" w:type="dxa"/>
            <w:vAlign w:val="center"/>
          </w:tcPr>
          <w:p w14:paraId="6C10BF53" w14:textId="5958DBD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zazmluvnený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subdodávateľ</w:t>
            </w:r>
            <w:proofErr w:type="spellEnd"/>
          </w:p>
        </w:tc>
        <w:tc>
          <w:tcPr>
            <w:tcW w:w="4278" w:type="dxa"/>
            <w:vAlign w:val="center"/>
          </w:tcPr>
          <w:p w14:paraId="5988D1EE" w14:textId="08AA8BA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kontrole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RO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zistí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skutočnosť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s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bol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vyhodnotený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uzavrel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plnenia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predmetnej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zákazky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dodávateľskú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zmluvu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13284C" w14:paraId="7C1130A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F7D266" w14:textId="269E7B1F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394" w:type="dxa"/>
            <w:vAlign w:val="center"/>
          </w:tcPr>
          <w:p w14:paraId="344F80AD" w14:textId="753DCB4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Medzi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majetkové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osobné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prepojenie</w:t>
            </w:r>
            <w:proofErr w:type="spellEnd"/>
          </w:p>
        </w:tc>
        <w:tc>
          <w:tcPr>
            <w:tcW w:w="4278" w:type="dxa"/>
            <w:vAlign w:val="center"/>
          </w:tcPr>
          <w:p w14:paraId="69083CCB" w14:textId="11BBCD6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Medzi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a</w:t>
            </w:r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majetkové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osobné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prepojenie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štatutár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štatutár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spoločne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štatutármi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subjekte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mohol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nemusel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predložiť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13284C" w14:paraId="031A9030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3A85637F" w14:textId="28E62A6E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394" w:type="dxa"/>
            <w:vAlign w:val="center"/>
          </w:tcPr>
          <w:p w14:paraId="2A46C259" w14:textId="6647F0A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tieňovej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(„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krycej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“)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</w:p>
        </w:tc>
        <w:tc>
          <w:tcPr>
            <w:tcW w:w="4278" w:type="dxa"/>
            <w:vAlign w:val="center"/>
          </w:tcPr>
          <w:p w14:paraId="779AA78C" w14:textId="6CC38C1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predložili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zjavne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kvalifikovaní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resp.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nespĺňa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základné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požiadavky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určené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obstarávateľom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13284C" w14:paraId="232F7284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D1A2B53" w14:textId="20F69375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394" w:type="dxa"/>
            <w:vAlign w:val="center"/>
          </w:tcPr>
          <w:p w14:paraId="5FFCD73C" w14:textId="31DB244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Nízky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/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žiadostí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účasť</w:t>
            </w:r>
            <w:proofErr w:type="spellEnd"/>
          </w:p>
        </w:tc>
        <w:tc>
          <w:tcPr>
            <w:tcW w:w="4278" w:type="dxa"/>
            <w:vAlign w:val="center"/>
          </w:tcPr>
          <w:p w14:paraId="01D9FF9A" w14:textId="0706C3C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bol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nízky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žiadostí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účasť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(1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až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2).</w:t>
            </w:r>
          </w:p>
        </w:tc>
      </w:tr>
      <w:tr w:rsidR="0013284C" w14:paraId="1BA77D3B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48F4F0" w14:textId="2E83ACA6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6.</w:t>
            </w:r>
          </w:p>
        </w:tc>
        <w:tc>
          <w:tcPr>
            <w:tcW w:w="4394" w:type="dxa"/>
            <w:vAlign w:val="center"/>
          </w:tcPr>
          <w:p w14:paraId="7FE99ADD" w14:textId="0942F76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Podozrivé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schémy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stanovovaní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cien</w:t>
            </w:r>
            <w:proofErr w:type="spellEnd"/>
          </w:p>
        </w:tc>
        <w:tc>
          <w:tcPr>
            <w:tcW w:w="4278" w:type="dxa"/>
            <w:vAlign w:val="center"/>
          </w:tcPr>
          <w:p w14:paraId="1465DDDE" w14:textId="0CA0777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oproti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zvyšujú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pravidelný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%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prírastok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,</w:t>
            </w:r>
          </w:p>
          <w:p w14:paraId="3DE8D09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2FD4493" w14:textId="318E5F3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stanovenie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použité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kalkulácie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564A11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93C7458" w14:textId="321477F0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všetkých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porovnaní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s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predpokladanou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zákazky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buď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nad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touto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tesne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pod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ňou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7480129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4855F8" w14:textId="10D91ED2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lastRenderedPageBreak/>
              <w:t>výsledná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suma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víťaznej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neprimerane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vysoká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vzhľadom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sumy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vie RO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porovnať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dostupných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zdrojov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vlastných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databáz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zdrojov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informácií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podobných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tovarov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prác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služieb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75BB368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516EA8E" w14:textId="2365069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v</w:t>
            </w:r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možné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pozorovať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náhly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pokles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ponukových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cien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vstupe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do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predošlých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podobných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súťažiach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nepredkladal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  <w:p w14:paraId="68769D6A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FE6FDE8" w14:textId="3CA386C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prípade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vedia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predchádzajúce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obstarávanie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bolo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zrušené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otvorení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zvýšia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u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väčšiny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zostane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rovnaká</w:t>
            </w:r>
            <w:proofErr w:type="spellEnd"/>
          </w:p>
        </w:tc>
        <w:bookmarkStart w:id="186" w:name="_GoBack"/>
        <w:bookmarkEnd w:id="186"/>
      </w:tr>
      <w:tr w:rsidR="0013284C" w14:paraId="0BE80B4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037C1302" w14:textId="0C83182D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lastRenderedPageBreak/>
              <w:t>7.</w:t>
            </w:r>
          </w:p>
        </w:tc>
        <w:tc>
          <w:tcPr>
            <w:tcW w:w="4394" w:type="dxa"/>
            <w:vAlign w:val="center"/>
          </w:tcPr>
          <w:p w14:paraId="49F1EDA5" w14:textId="573440C1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Podozrivé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indície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dokumentácii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obstarávania</w:t>
            </w:r>
            <w:proofErr w:type="spellEnd"/>
          </w:p>
        </w:tc>
        <w:tc>
          <w:tcPr>
            <w:tcW w:w="4278" w:type="dxa"/>
            <w:vAlign w:val="center"/>
          </w:tcPr>
          <w:p w14:paraId="32B84F2F" w14:textId="22E43FD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rukopis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druh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písma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formu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boli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použité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kancelárske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potreby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podpísané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atramentom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kancelárskom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papieri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), </w:t>
            </w:r>
          </w:p>
          <w:p w14:paraId="297293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3C29F54" w14:textId="2E4D519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jednotlivých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dokumentoch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pravopisné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tlačiarenské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šmuhy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od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tlačiarne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matematické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zlé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výpočty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),</w:t>
            </w:r>
          </w:p>
          <w:p w14:paraId="673FA66E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C6750E0" w14:textId="5E80F1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zhodné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nepravidelnosti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zoradenie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do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s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prehodenými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stranami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číslovanie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strán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13BC52A0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29688C6" w14:textId="0358C4FD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elektronickej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forme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ukazujú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vytvorila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upravovala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osoba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7F89D175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40A073F" w14:textId="3B5BDA9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obálky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od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rôznych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poštové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pečiatky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zasielané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pošty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frankovacie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značky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známky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podacích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lístkoch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rukopis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kolkov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rôznych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seba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nadväzujú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</w:p>
          <w:p w14:paraId="4DDE56C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C4C444" w14:textId="77D1D75A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niekoľko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akýchkoľvek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žiadosti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vysvetlenie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podkladov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posielaných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emailovej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adresy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faxového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naraz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prostredníctvom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kuriéra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483FA1A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AAA5060" w14:textId="03B0075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cenových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veľký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opráv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poslednú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chvíľu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gumovanie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škrtanie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fyzické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zmeny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131689A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02DA4D64" w14:textId="49122D6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jednoznačný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odkaz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ostatných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konkurentov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hlavičke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vyskytuje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faxové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využívajú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hlavičkový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papier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konkurenta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5965BAB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136BC70" w14:textId="41169DD8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podstatný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odhadov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nákladov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jednotlivé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položky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</w:tbl>
    <w:p w14:paraId="3147189B" w14:textId="77777777" w:rsidR="0013284C" w:rsidRP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sectPr w:rsidR="0013284C" w:rsidRPr="002316E3" w:rsidSect="009E39A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8E894" w14:textId="77777777" w:rsidR="00E54746" w:rsidRDefault="00E54746">
      <w:r>
        <w:separator/>
      </w:r>
    </w:p>
    <w:p w14:paraId="2F8F52AE" w14:textId="77777777" w:rsidR="00E54746" w:rsidRDefault="00E54746"/>
  </w:endnote>
  <w:endnote w:type="continuationSeparator" w:id="0">
    <w:p w14:paraId="100B7218" w14:textId="77777777" w:rsidR="00E54746" w:rsidRDefault="00E54746">
      <w:r>
        <w:continuationSeparator/>
      </w:r>
    </w:p>
    <w:p w14:paraId="2224B9F1" w14:textId="77777777" w:rsidR="00E54746" w:rsidRDefault="00E54746"/>
  </w:endnote>
  <w:endnote w:type="continuationNotice" w:id="1">
    <w:p w14:paraId="323932AA" w14:textId="77777777" w:rsidR="00E54746" w:rsidRDefault="00E547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10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20720" w14:textId="77777777" w:rsidR="00F1107F" w:rsidRDefault="00F1107F" w:rsidP="00F1107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>
      <w:tab/>
    </w:r>
  </w:p>
  <w:p w14:paraId="642804A1" w14:textId="77777777" w:rsidR="00F1107F" w:rsidRDefault="00F1107F" w:rsidP="00F1107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r>
      <w:rPr>
        <w:rFonts w:ascii="Times New Roman" w:hAnsi="Times New Roman"/>
        <w:i/>
        <w:sz w:val="20"/>
        <w:szCs w:val="20"/>
      </w:rPr>
      <w:t>Príručka</w:t>
    </w:r>
    <w:proofErr w:type="spellEnd"/>
    <w:r>
      <w:rPr>
        <w:rFonts w:ascii="Times New Roman" w:hAnsi="Times New Roman"/>
        <w:i/>
        <w:sz w:val="20"/>
        <w:szCs w:val="20"/>
      </w:rPr>
      <w:t xml:space="preserve"> pre </w:t>
    </w:r>
    <w:proofErr w:type="spellStart"/>
    <w:r>
      <w:rPr>
        <w:rFonts w:ascii="Times New Roman" w:hAnsi="Times New Roman"/>
        <w:i/>
        <w:sz w:val="20"/>
        <w:szCs w:val="20"/>
      </w:rPr>
      <w:t>prijímateľa</w:t>
    </w:r>
    <w:proofErr w:type="spellEnd"/>
    <w:r>
      <w:rPr>
        <w:rFonts w:ascii="Times New Roman" w:hAnsi="Times New Roman"/>
        <w:i/>
        <w:sz w:val="20"/>
        <w:szCs w:val="20"/>
      </w:rPr>
      <w:t xml:space="preserve"> OP EVS</w:t>
    </w:r>
  </w:p>
  <w:p w14:paraId="6E46828E" w14:textId="77777777" w:rsidR="00F1107F" w:rsidRDefault="00F1107F" w:rsidP="00F1107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proofErr w:type="gramStart"/>
    <w:r>
      <w:rPr>
        <w:rFonts w:ascii="Times New Roman" w:hAnsi="Times New Roman"/>
        <w:i/>
        <w:sz w:val="20"/>
        <w:szCs w:val="20"/>
      </w:rPr>
      <w:t>verzia</w:t>
    </w:r>
    <w:proofErr w:type="spellEnd"/>
    <w:proofErr w:type="gramEnd"/>
    <w:r>
      <w:rPr>
        <w:rFonts w:ascii="Times New Roman" w:hAnsi="Times New Roman"/>
        <w:i/>
        <w:sz w:val="20"/>
        <w:szCs w:val="20"/>
      </w:rPr>
      <w:t xml:space="preserve"> č. 1.0</w:t>
    </w:r>
  </w:p>
  <w:p w14:paraId="078147FA" w14:textId="2D84DF4F" w:rsidR="00F1107F" w:rsidRPr="00F1107F" w:rsidRDefault="00F1107F" w:rsidP="00F1107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proofErr w:type="gramStart"/>
    <w:r>
      <w:rPr>
        <w:rFonts w:ascii="Times New Roman" w:hAnsi="Times New Roman"/>
        <w:i/>
        <w:sz w:val="20"/>
        <w:szCs w:val="20"/>
      </w:rPr>
      <w:t>platná</w:t>
    </w:r>
    <w:proofErr w:type="spellEnd"/>
    <w:proofErr w:type="gramEnd"/>
    <w:r>
      <w:rPr>
        <w:rFonts w:ascii="Times New Roman" w:hAnsi="Times New Roman"/>
        <w:i/>
        <w:sz w:val="20"/>
        <w:szCs w:val="20"/>
      </w:rPr>
      <w:t xml:space="preserve"> k 11.11.2015 a </w:t>
    </w:r>
    <w:proofErr w:type="spellStart"/>
    <w:r>
      <w:rPr>
        <w:rFonts w:ascii="Times New Roman" w:hAnsi="Times New Roman"/>
        <w:i/>
        <w:sz w:val="20"/>
        <w:szCs w:val="20"/>
      </w:rPr>
      <w:t>účinná</w:t>
    </w:r>
    <w:proofErr w:type="spellEnd"/>
    <w:r>
      <w:rPr>
        <w:rFonts w:ascii="Times New Roman" w:hAnsi="Times New Roman"/>
        <w:i/>
        <w:sz w:val="20"/>
        <w:szCs w:val="20"/>
      </w:rPr>
      <w:t xml:space="preserve">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ED63C" w14:textId="77777777" w:rsidR="00E54746" w:rsidRDefault="00E54746">
      <w:r>
        <w:separator/>
      </w:r>
    </w:p>
    <w:p w14:paraId="1D9D7FE9" w14:textId="77777777" w:rsidR="00E54746" w:rsidRDefault="00E54746"/>
  </w:footnote>
  <w:footnote w:type="continuationSeparator" w:id="0">
    <w:p w14:paraId="55E16C90" w14:textId="77777777" w:rsidR="00E54746" w:rsidRDefault="00E54746">
      <w:r>
        <w:continuationSeparator/>
      </w:r>
    </w:p>
    <w:p w14:paraId="440EA4FB" w14:textId="77777777" w:rsidR="00E54746" w:rsidRDefault="00E54746"/>
  </w:footnote>
  <w:footnote w:type="continuationNotice" w:id="1">
    <w:p w14:paraId="1615660B" w14:textId="77777777" w:rsidR="00E54746" w:rsidRDefault="00E54746"/>
  </w:footnote>
  <w:footnote w:id="2">
    <w:p w14:paraId="6B7D984D" w14:textId="07EE1328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gramStart"/>
      <w:r w:rsidRPr="002316E3">
        <w:rPr>
          <w:sz w:val="14"/>
        </w:rPr>
        <w:t>z</w:t>
      </w:r>
      <w:proofErr w:type="gram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pohľadu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možného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porušenia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č. 136/2001 </w:t>
      </w:r>
      <w:proofErr w:type="spellStart"/>
      <w:r w:rsidRPr="002316E3">
        <w:rPr>
          <w:sz w:val="14"/>
        </w:rPr>
        <w:t>Z.z</w:t>
      </w:r>
      <w:proofErr w:type="spellEnd"/>
      <w:r w:rsidRPr="002316E3">
        <w:rPr>
          <w:sz w:val="14"/>
        </w:rPr>
        <w:t xml:space="preserve">.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- </w:t>
      </w:r>
      <w:proofErr w:type="spellStart"/>
      <w:r w:rsidRPr="002316E3">
        <w:rPr>
          <w:sz w:val="14"/>
        </w:rPr>
        <w:t>konkrétne</w:t>
      </w:r>
      <w:proofErr w:type="spellEnd"/>
      <w:r w:rsidRPr="002316E3">
        <w:rPr>
          <w:sz w:val="14"/>
        </w:rPr>
        <w:t xml:space="preserve">  </w:t>
      </w:r>
      <w:proofErr w:type="spellStart"/>
      <w:r w:rsidRPr="002316E3">
        <w:rPr>
          <w:sz w:val="14"/>
        </w:rPr>
        <w:t>dohôd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obmedzujúcich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§4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2A09D" w14:textId="4D397240" w:rsidR="009E39AD" w:rsidRDefault="009E39AD" w:rsidP="009E39A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513C3CBB" wp14:editId="07B1DB5F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35B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39AD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746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107F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E5C9C98B-E470-430E-8818-88F184D8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2F2A4-1D70-4B02-8FB3-A612C1E5D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35A9A71-2F5B-4801-9180-A1032B67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Rudolf Hrudkay</cp:lastModifiedBy>
  <cp:revision>7</cp:revision>
  <cp:lastPrinted>2006-02-10T13:19:00Z</cp:lastPrinted>
  <dcterms:created xsi:type="dcterms:W3CDTF">2015-06-23T08:12:00Z</dcterms:created>
  <dcterms:modified xsi:type="dcterms:W3CDTF">2015-11-11T08:39:00Z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