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bookmarkStart w:id="0" w:name="_GoBack"/>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094C732F"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1" w:author="Autor">
        <w:r w:rsidR="007C5BB5" w:rsidDel="0097766A">
          <w:rPr>
            <w:rFonts w:ascii="Verdana" w:hAnsi="Verdana"/>
            <w:sz w:val="20"/>
            <w:szCs w:val="20"/>
            <w:lang w:val="sk-SK" w:eastAsia="cs-CZ"/>
          </w:rPr>
          <w:delText>28</w:delText>
        </w:r>
      </w:del>
      <w:ins w:id="2" w:author="Autor">
        <w:r w:rsidR="0097766A">
          <w:rPr>
            <w:rFonts w:ascii="Verdana" w:hAnsi="Verdana"/>
            <w:sz w:val="20"/>
            <w:szCs w:val="20"/>
            <w:lang w:val="sk-SK" w:eastAsia="cs-CZ"/>
          </w:rPr>
          <w:t>06</w:t>
        </w:r>
      </w:ins>
      <w:r w:rsidR="008C3FAB" w:rsidRPr="008C3FAB">
        <w:rPr>
          <w:rFonts w:ascii="Verdana" w:hAnsi="Verdana"/>
          <w:sz w:val="20"/>
          <w:szCs w:val="20"/>
          <w:lang w:val="sk-SK" w:eastAsia="cs-CZ"/>
        </w:rPr>
        <w:t xml:space="preserve">. </w:t>
      </w:r>
      <w:ins w:id="3" w:author="Autor">
        <w:r w:rsidR="0097766A">
          <w:rPr>
            <w:rFonts w:ascii="Verdana" w:hAnsi="Verdana"/>
            <w:sz w:val="20"/>
            <w:szCs w:val="20"/>
            <w:lang w:val="sk-SK" w:eastAsia="cs-CZ"/>
          </w:rPr>
          <w:t>02</w:t>
        </w:r>
      </w:ins>
      <w:del w:id="4" w:author="Autor">
        <w:r w:rsidR="00D75B7C" w:rsidDel="0097766A">
          <w:rPr>
            <w:rFonts w:ascii="Verdana" w:hAnsi="Verdana"/>
            <w:sz w:val="20"/>
            <w:szCs w:val="20"/>
            <w:lang w:val="sk-SK" w:eastAsia="cs-CZ"/>
          </w:rPr>
          <w:delText>11</w:delText>
        </w:r>
      </w:del>
      <w:r w:rsidR="008C3FAB" w:rsidRPr="008C3FAB">
        <w:rPr>
          <w:rFonts w:ascii="Verdana" w:hAnsi="Verdana"/>
          <w:sz w:val="20"/>
          <w:szCs w:val="20"/>
          <w:lang w:val="sk-SK" w:eastAsia="cs-CZ"/>
        </w:rPr>
        <w:t xml:space="preserve">. </w:t>
      </w:r>
      <w:del w:id="5" w:author="Autor">
        <w:r w:rsidR="008C3FAB" w:rsidRPr="008C3FAB" w:rsidDel="0097766A">
          <w:rPr>
            <w:rFonts w:ascii="Verdana" w:hAnsi="Verdana"/>
            <w:sz w:val="20"/>
            <w:szCs w:val="20"/>
            <w:lang w:val="sk-SK" w:eastAsia="cs-CZ"/>
          </w:rPr>
          <w:delText>20</w:delText>
        </w:r>
        <w:r w:rsidR="00EE1AD1" w:rsidDel="0097766A">
          <w:rPr>
            <w:rFonts w:ascii="Verdana" w:hAnsi="Verdana"/>
            <w:sz w:val="20"/>
            <w:szCs w:val="20"/>
            <w:lang w:val="sk-SK" w:eastAsia="cs-CZ"/>
          </w:rPr>
          <w:delText>17</w:delText>
        </w:r>
      </w:del>
      <w:ins w:id="6" w:author="Autor">
        <w:r w:rsidR="0097766A" w:rsidRPr="008C3FAB">
          <w:rPr>
            <w:rFonts w:ascii="Verdana" w:hAnsi="Verdana"/>
            <w:sz w:val="20"/>
            <w:szCs w:val="20"/>
            <w:lang w:val="sk-SK" w:eastAsia="cs-CZ"/>
          </w:rPr>
          <w:t>20</w:t>
        </w:r>
        <w:r w:rsidR="0097766A">
          <w:rPr>
            <w:rFonts w:ascii="Verdana" w:hAnsi="Verdana"/>
            <w:sz w:val="20"/>
            <w:szCs w:val="20"/>
            <w:lang w:val="sk-SK" w:eastAsia="cs-CZ"/>
          </w:rPr>
          <w:t>1</w:t>
        </w:r>
        <w:r w:rsidR="0097766A">
          <w:rPr>
            <w:rFonts w:ascii="Verdana" w:hAnsi="Verdana"/>
            <w:sz w:val="20"/>
            <w:szCs w:val="20"/>
            <w:lang w:val="sk-SK" w:eastAsia="cs-CZ"/>
          </w:rPr>
          <w:t>8</w:t>
        </w:r>
      </w:ins>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7D1C3E62"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7" w:author="Autor">
        <w:r w:rsidR="007C5BB5" w:rsidDel="0097766A">
          <w:rPr>
            <w:rFonts w:ascii="Verdana" w:hAnsi="Verdana"/>
            <w:sz w:val="20"/>
            <w:szCs w:val="20"/>
            <w:lang w:val="sk-SK" w:eastAsia="cs-CZ"/>
          </w:rPr>
          <w:delText>28</w:delText>
        </w:r>
      </w:del>
      <w:ins w:id="8" w:author="Autor">
        <w:r w:rsidR="0097766A">
          <w:rPr>
            <w:rFonts w:ascii="Verdana" w:hAnsi="Verdana"/>
            <w:sz w:val="20"/>
            <w:szCs w:val="20"/>
            <w:lang w:val="sk-SK" w:eastAsia="cs-CZ"/>
          </w:rPr>
          <w:t>06</w:t>
        </w:r>
      </w:ins>
      <w:r w:rsidR="008C3FAB" w:rsidRPr="008C3FAB">
        <w:rPr>
          <w:rFonts w:ascii="Verdana" w:hAnsi="Verdana"/>
          <w:sz w:val="20"/>
          <w:szCs w:val="20"/>
          <w:lang w:val="sk-SK" w:eastAsia="cs-CZ"/>
        </w:rPr>
        <w:t xml:space="preserve">. </w:t>
      </w:r>
      <w:ins w:id="9" w:author="Autor">
        <w:r w:rsidR="0097766A">
          <w:rPr>
            <w:rFonts w:ascii="Verdana" w:hAnsi="Verdana"/>
            <w:sz w:val="20"/>
            <w:szCs w:val="20"/>
            <w:lang w:val="sk-SK" w:eastAsia="cs-CZ"/>
          </w:rPr>
          <w:t>02</w:t>
        </w:r>
      </w:ins>
      <w:del w:id="10" w:author="Autor">
        <w:r w:rsidR="00D75B7C" w:rsidDel="0097766A">
          <w:rPr>
            <w:rFonts w:ascii="Verdana" w:hAnsi="Verdana"/>
            <w:sz w:val="20"/>
            <w:szCs w:val="20"/>
            <w:lang w:val="sk-SK" w:eastAsia="cs-CZ"/>
          </w:rPr>
          <w:delText>11</w:delText>
        </w:r>
      </w:del>
      <w:r w:rsidR="008C3FAB" w:rsidRPr="008C3FAB">
        <w:rPr>
          <w:rFonts w:ascii="Verdana" w:hAnsi="Verdana"/>
          <w:sz w:val="20"/>
          <w:szCs w:val="20"/>
          <w:lang w:val="sk-SK" w:eastAsia="cs-CZ"/>
        </w:rPr>
        <w:t xml:space="preserve">. </w:t>
      </w:r>
      <w:del w:id="11" w:author="Autor">
        <w:r w:rsidR="008C3FAB" w:rsidRPr="008C3FAB" w:rsidDel="0097766A">
          <w:rPr>
            <w:rFonts w:ascii="Verdana" w:hAnsi="Verdana"/>
            <w:sz w:val="20"/>
            <w:szCs w:val="20"/>
            <w:lang w:val="sk-SK" w:eastAsia="cs-CZ"/>
          </w:rPr>
          <w:delText>201</w:delText>
        </w:r>
        <w:r w:rsidR="00EE1AD1" w:rsidDel="0097766A">
          <w:rPr>
            <w:rFonts w:ascii="Verdana" w:hAnsi="Verdana"/>
            <w:sz w:val="20"/>
            <w:szCs w:val="20"/>
            <w:lang w:val="sk-SK" w:eastAsia="cs-CZ"/>
          </w:rPr>
          <w:delText>7</w:delText>
        </w:r>
      </w:del>
      <w:ins w:id="12" w:author="Autor">
        <w:r w:rsidR="0097766A">
          <w:rPr>
            <w:rFonts w:ascii="Verdana" w:hAnsi="Verdana"/>
            <w:sz w:val="20"/>
            <w:szCs w:val="20"/>
            <w:lang w:val="sk-SK" w:eastAsia="cs-CZ"/>
          </w:rPr>
          <w:t>2018</w:t>
        </w:r>
      </w:ins>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64B12ABA"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del w:id="13" w:author="Autor">
        <w:r w:rsidR="007C5BB5" w:rsidDel="0097766A">
          <w:rPr>
            <w:rFonts w:ascii="Verdana" w:hAnsi="Verdana"/>
            <w:sz w:val="20"/>
            <w:szCs w:val="20"/>
            <w:lang w:val="sk-SK" w:eastAsia="cs-CZ"/>
          </w:rPr>
          <w:delText>28</w:delText>
        </w:r>
      </w:del>
      <w:ins w:id="14" w:author="Autor">
        <w:r w:rsidR="0097766A">
          <w:rPr>
            <w:rFonts w:ascii="Verdana" w:hAnsi="Verdana"/>
            <w:sz w:val="20"/>
            <w:szCs w:val="20"/>
            <w:lang w:val="sk-SK" w:eastAsia="cs-CZ"/>
          </w:rPr>
          <w:t>06</w:t>
        </w:r>
      </w:ins>
      <w:r w:rsidR="008C3FAB" w:rsidRPr="008C3FAB">
        <w:rPr>
          <w:rFonts w:ascii="Verdana" w:hAnsi="Verdana"/>
          <w:sz w:val="20"/>
          <w:szCs w:val="20"/>
          <w:lang w:val="sk-SK" w:eastAsia="cs-CZ"/>
        </w:rPr>
        <w:t xml:space="preserve">. </w:t>
      </w:r>
      <w:ins w:id="15" w:author="Autor">
        <w:r w:rsidR="0097766A">
          <w:rPr>
            <w:rFonts w:ascii="Verdana" w:hAnsi="Verdana"/>
            <w:sz w:val="20"/>
            <w:szCs w:val="20"/>
            <w:lang w:val="sk-SK" w:eastAsia="cs-CZ"/>
          </w:rPr>
          <w:t>02</w:t>
        </w:r>
      </w:ins>
      <w:del w:id="16" w:author="Autor">
        <w:r w:rsidR="00D75B7C" w:rsidDel="0097766A">
          <w:rPr>
            <w:rFonts w:ascii="Verdana" w:hAnsi="Verdana"/>
            <w:sz w:val="20"/>
            <w:szCs w:val="20"/>
            <w:lang w:val="sk-SK" w:eastAsia="cs-CZ"/>
          </w:rPr>
          <w:delText>11</w:delText>
        </w:r>
      </w:del>
      <w:r w:rsidR="008C3FAB" w:rsidRPr="008C3FAB">
        <w:rPr>
          <w:rFonts w:ascii="Verdana" w:hAnsi="Verdana"/>
          <w:sz w:val="20"/>
          <w:szCs w:val="20"/>
          <w:lang w:val="sk-SK" w:eastAsia="cs-CZ"/>
        </w:rPr>
        <w:t xml:space="preserve">. </w:t>
      </w:r>
      <w:del w:id="17" w:author="Autor">
        <w:r w:rsidR="008C3FAB" w:rsidRPr="008C3FAB" w:rsidDel="0097766A">
          <w:rPr>
            <w:rFonts w:ascii="Verdana" w:hAnsi="Verdana"/>
            <w:sz w:val="20"/>
            <w:szCs w:val="20"/>
            <w:lang w:val="sk-SK" w:eastAsia="cs-CZ"/>
          </w:rPr>
          <w:delText>201</w:delText>
        </w:r>
        <w:r w:rsidR="00EE1AD1" w:rsidDel="0097766A">
          <w:rPr>
            <w:rFonts w:ascii="Verdana" w:hAnsi="Verdana"/>
            <w:sz w:val="20"/>
            <w:szCs w:val="20"/>
            <w:lang w:val="sk-SK" w:eastAsia="cs-CZ"/>
          </w:rPr>
          <w:delText>7</w:delText>
        </w:r>
      </w:del>
      <w:ins w:id="18" w:author="Autor">
        <w:r w:rsidR="0097766A">
          <w:rPr>
            <w:rFonts w:ascii="Verdana" w:hAnsi="Verdana"/>
            <w:sz w:val="20"/>
            <w:szCs w:val="20"/>
            <w:lang w:val="sk-SK" w:eastAsia="cs-CZ"/>
          </w:rPr>
          <w:t>2018</w:t>
        </w:r>
      </w:ins>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312496F6"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ins w:id="19" w:author="Autor">
        <w:r w:rsidR="0097766A">
          <w:rPr>
            <w:rFonts w:ascii="Verdana" w:hAnsi="Verdana"/>
            <w:sz w:val="20"/>
            <w:szCs w:val="20"/>
            <w:lang w:val="sk-SK" w:eastAsia="cs-CZ"/>
          </w:rPr>
          <w:t>4</w:t>
        </w:r>
      </w:ins>
      <w:del w:id="20" w:author="Autor">
        <w:r w:rsidR="00EE1AD1" w:rsidDel="0097766A">
          <w:rPr>
            <w:rFonts w:ascii="Verdana" w:hAnsi="Verdana"/>
            <w:sz w:val="20"/>
            <w:szCs w:val="20"/>
            <w:lang w:val="sk-SK" w:eastAsia="cs-CZ"/>
          </w:rPr>
          <w:delText>3</w:delText>
        </w:r>
      </w:del>
      <w:r w:rsidR="00EE1AD1">
        <w:rPr>
          <w:rFonts w:ascii="Verdana" w:hAnsi="Verdana"/>
          <w:sz w:val="20"/>
          <w:szCs w:val="20"/>
          <w:lang w:val="sk-SK" w:eastAsia="cs-CZ"/>
        </w:rPr>
        <w:t>.</w:t>
      </w:r>
      <w:ins w:id="21" w:author="Autor">
        <w:r w:rsidR="0097766A">
          <w:rPr>
            <w:rFonts w:ascii="Verdana" w:hAnsi="Verdana"/>
            <w:sz w:val="20"/>
            <w:szCs w:val="20"/>
            <w:lang w:val="sk-SK" w:eastAsia="cs-CZ"/>
          </w:rPr>
          <w:t>0</w:t>
        </w:r>
      </w:ins>
      <w:del w:id="22" w:author="Autor">
        <w:r w:rsidR="007C5BB5" w:rsidDel="0097766A">
          <w:rPr>
            <w:rFonts w:ascii="Verdana" w:hAnsi="Verdana"/>
            <w:sz w:val="20"/>
            <w:szCs w:val="20"/>
            <w:lang w:val="sk-SK" w:eastAsia="cs-CZ"/>
          </w:rPr>
          <w:delText>6</w:delText>
        </w:r>
      </w:del>
      <w:r>
        <w:rPr>
          <w:rFonts w:ascii="Verdana" w:hAnsi="Verdana"/>
          <w:sz w:val="20"/>
          <w:szCs w:val="20"/>
          <w:lang w:val="sk-SK" w:eastAsia="cs-CZ"/>
        </w:rPr>
        <w:t xml:space="preserve">; platnosť od: </w:t>
      </w:r>
      <w:ins w:id="23" w:author="Autor">
        <w:r w:rsidR="0097766A">
          <w:rPr>
            <w:rFonts w:ascii="Verdana" w:hAnsi="Verdana"/>
            <w:sz w:val="20"/>
            <w:szCs w:val="20"/>
            <w:lang w:val="sk-SK" w:eastAsia="cs-CZ"/>
          </w:rPr>
          <w:t>06</w:t>
        </w:r>
      </w:ins>
      <w:del w:id="24" w:author="Autor">
        <w:r w:rsidR="007C5BB5" w:rsidDel="0097766A">
          <w:rPr>
            <w:rFonts w:ascii="Verdana" w:hAnsi="Verdana"/>
            <w:sz w:val="20"/>
            <w:szCs w:val="20"/>
            <w:lang w:val="sk-SK" w:eastAsia="cs-CZ"/>
          </w:rPr>
          <w:delText>28</w:delText>
        </w:r>
      </w:del>
      <w:r w:rsidR="008C3FAB" w:rsidRPr="008C3FAB">
        <w:rPr>
          <w:rFonts w:ascii="Verdana" w:hAnsi="Verdana"/>
          <w:sz w:val="20"/>
          <w:szCs w:val="20"/>
          <w:lang w:val="sk-SK" w:eastAsia="cs-CZ"/>
        </w:rPr>
        <w:t xml:space="preserve">. </w:t>
      </w:r>
      <w:ins w:id="25" w:author="Autor">
        <w:r w:rsidR="0097766A">
          <w:rPr>
            <w:rFonts w:ascii="Verdana" w:hAnsi="Verdana"/>
            <w:sz w:val="20"/>
            <w:szCs w:val="20"/>
            <w:lang w:val="sk-SK" w:eastAsia="cs-CZ"/>
          </w:rPr>
          <w:t>02</w:t>
        </w:r>
      </w:ins>
      <w:del w:id="26" w:author="Autor">
        <w:r w:rsidR="0001760F" w:rsidDel="0097766A">
          <w:rPr>
            <w:rFonts w:ascii="Verdana" w:hAnsi="Verdana"/>
            <w:sz w:val="20"/>
            <w:szCs w:val="20"/>
            <w:lang w:val="sk-SK" w:eastAsia="cs-CZ"/>
          </w:rPr>
          <w:delText>11</w:delText>
        </w:r>
      </w:del>
      <w:r w:rsidR="008C3FAB" w:rsidRPr="008C3FAB">
        <w:rPr>
          <w:rFonts w:ascii="Verdana" w:hAnsi="Verdana"/>
          <w:sz w:val="20"/>
          <w:szCs w:val="20"/>
          <w:lang w:val="sk-SK" w:eastAsia="cs-CZ"/>
        </w:rPr>
        <w:t>. 201</w:t>
      </w:r>
      <w:del w:id="27" w:author="Autor">
        <w:r w:rsidR="00EE1AD1" w:rsidDel="0097766A">
          <w:rPr>
            <w:rFonts w:ascii="Verdana" w:hAnsi="Verdana"/>
            <w:sz w:val="20"/>
            <w:szCs w:val="20"/>
            <w:lang w:val="sk-SK" w:eastAsia="cs-CZ"/>
          </w:rPr>
          <w:delText>7</w:delText>
        </w:r>
      </w:del>
      <w:ins w:id="28" w:author="Autor">
        <w:r w:rsidR="0097766A">
          <w:rPr>
            <w:rFonts w:ascii="Verdana" w:hAnsi="Verdana"/>
            <w:sz w:val="20"/>
            <w:szCs w:val="20"/>
            <w:lang w:val="sk-SK" w:eastAsia="cs-CZ"/>
          </w:rPr>
          <w:t>8</w:t>
        </w:r>
      </w:ins>
      <w:r>
        <w:rPr>
          <w:rFonts w:ascii="Verdana" w:hAnsi="Verdana"/>
          <w:sz w:val="20"/>
          <w:szCs w:val="20"/>
          <w:lang w:val="sk-SK" w:eastAsia="cs-CZ"/>
        </w:rPr>
        <w:t xml:space="preserve">, účinnosť od: </w:t>
      </w:r>
      <w:ins w:id="29" w:author="Autor">
        <w:r w:rsidR="0097766A">
          <w:rPr>
            <w:rFonts w:ascii="Verdana" w:hAnsi="Verdana"/>
            <w:sz w:val="20"/>
            <w:szCs w:val="20"/>
            <w:lang w:val="sk-SK" w:eastAsia="cs-CZ"/>
          </w:rPr>
          <w:t>06</w:t>
        </w:r>
      </w:ins>
      <w:del w:id="30" w:author="Autor">
        <w:r w:rsidR="007C5BB5" w:rsidDel="0097766A">
          <w:rPr>
            <w:rFonts w:ascii="Verdana" w:hAnsi="Verdana"/>
            <w:sz w:val="20"/>
            <w:szCs w:val="20"/>
            <w:lang w:val="sk-SK" w:eastAsia="cs-CZ"/>
          </w:rPr>
          <w:delText>28</w:delText>
        </w:r>
      </w:del>
      <w:r w:rsidR="008C3FAB" w:rsidRPr="008C3FAB">
        <w:rPr>
          <w:rFonts w:ascii="Verdana" w:hAnsi="Verdana"/>
          <w:sz w:val="20"/>
          <w:szCs w:val="20"/>
          <w:lang w:val="sk-SK" w:eastAsia="cs-CZ"/>
        </w:rPr>
        <w:t xml:space="preserve">. </w:t>
      </w:r>
      <w:ins w:id="31" w:author="Autor">
        <w:r w:rsidR="0097766A">
          <w:rPr>
            <w:rFonts w:ascii="Verdana" w:hAnsi="Verdana"/>
            <w:sz w:val="20"/>
            <w:szCs w:val="20"/>
            <w:lang w:val="sk-SK" w:eastAsia="cs-CZ"/>
          </w:rPr>
          <w:t>02</w:t>
        </w:r>
      </w:ins>
      <w:del w:id="32" w:author="Autor">
        <w:r w:rsidR="0001760F" w:rsidDel="0097766A">
          <w:rPr>
            <w:rFonts w:ascii="Verdana" w:hAnsi="Verdana"/>
            <w:sz w:val="20"/>
            <w:szCs w:val="20"/>
            <w:lang w:val="sk-SK" w:eastAsia="cs-CZ"/>
          </w:rPr>
          <w:delText>11</w:delText>
        </w:r>
      </w:del>
      <w:r w:rsidR="008C3FAB" w:rsidRPr="008C3FAB">
        <w:rPr>
          <w:rFonts w:ascii="Verdana" w:hAnsi="Verdana"/>
          <w:sz w:val="20"/>
          <w:szCs w:val="20"/>
          <w:lang w:val="sk-SK" w:eastAsia="cs-CZ"/>
        </w:rPr>
        <w:t>. 201</w:t>
      </w:r>
      <w:del w:id="33" w:author="Autor">
        <w:r w:rsidR="00EE1AD1" w:rsidDel="0097766A">
          <w:rPr>
            <w:rFonts w:ascii="Verdana" w:hAnsi="Verdana"/>
            <w:sz w:val="20"/>
            <w:szCs w:val="20"/>
            <w:lang w:val="sk-SK" w:eastAsia="cs-CZ"/>
          </w:rPr>
          <w:delText>7</w:delText>
        </w:r>
      </w:del>
      <w:ins w:id="34" w:author="Autor">
        <w:r w:rsidR="0097766A">
          <w:rPr>
            <w:rFonts w:ascii="Verdana" w:hAnsi="Verdana"/>
            <w:sz w:val="20"/>
            <w:szCs w:val="20"/>
            <w:lang w:val="sk-SK" w:eastAsia="cs-CZ"/>
          </w:rPr>
          <w:t>8</w:t>
        </w:r>
      </w:ins>
    </w:p>
    <w:p w14:paraId="01291ABE" w14:textId="77777777" w:rsidR="00DE57DE" w:rsidRPr="00DE57DE" w:rsidRDefault="00DE57DE" w:rsidP="00DE57DE">
      <w:pPr>
        <w:spacing w:line="360" w:lineRule="auto"/>
        <w:rPr>
          <w:rFonts w:ascii="Verdana" w:hAnsi="Verdana"/>
          <w:sz w:val="18"/>
          <w:szCs w:val="18"/>
          <w:lang w:val="sk-SK" w:eastAsia="sk-SK"/>
        </w:rPr>
      </w:pPr>
    </w:p>
    <w:p w14:paraId="01291ABF" w14:textId="77777777" w:rsidR="0047738E" w:rsidRPr="0017594C" w:rsidRDefault="0047738E" w:rsidP="00B72620">
      <w:pPr>
        <w:jc w:val="both"/>
        <w:rP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77777777" w:rsidR="0047738E" w:rsidRPr="0017594C" w:rsidRDefault="0047738E" w:rsidP="00B72620">
      <w:pPr>
        <w:jc w:val="both"/>
        <w:rPr>
          <w:b/>
          <w:color w:val="002776" w:themeColor="text2"/>
          <w:sz w:val="60"/>
          <w:lang w:val="sk-SK"/>
        </w:rPr>
      </w:pPr>
    </w:p>
    <w:p w14:paraId="01291AC2" w14:textId="77777777" w:rsidR="0047738E" w:rsidRPr="0017594C" w:rsidRDefault="0047738E" w:rsidP="00B72620">
      <w:pPr>
        <w:jc w:val="both"/>
        <w:rPr>
          <w:b/>
          <w:color w:val="002776" w:themeColor="text2"/>
          <w:sz w:val="60"/>
          <w:lang w:val="sk-SK"/>
        </w:rPr>
      </w:pPr>
    </w:p>
    <w:p w14:paraId="01291AC3" w14:textId="77777777" w:rsidR="0047738E" w:rsidRPr="0017594C" w:rsidRDefault="0047738E" w:rsidP="00B72620">
      <w:pPr>
        <w:jc w:val="both"/>
        <w:rPr>
          <w:b/>
          <w:color w:val="002776" w:themeColor="text2"/>
          <w:sz w:val="60"/>
          <w:lang w:val="sk-SK"/>
        </w:rPr>
      </w:pPr>
    </w:p>
    <w:p w14:paraId="01291AC4" w14:textId="77777777" w:rsidR="0047738E" w:rsidRPr="0017594C" w:rsidRDefault="0047738E" w:rsidP="00B72620">
      <w:pPr>
        <w:spacing w:line="288" w:lineRule="auto"/>
        <w:jc w:val="both"/>
        <w:rPr>
          <w:lang w:val="sk-SK"/>
        </w:rPr>
      </w:pPr>
    </w:p>
    <w:p w14:paraId="01291AC5" w14:textId="77777777" w:rsidR="0047738E" w:rsidRPr="0017594C" w:rsidRDefault="0047738E" w:rsidP="00B72620">
      <w:pPr>
        <w:spacing w:line="288" w:lineRule="auto"/>
        <w:jc w:val="both"/>
        <w:rPr>
          <w:lang w:val="sk-SK"/>
        </w:rPr>
      </w:pPr>
    </w:p>
    <w:p w14:paraId="01291AC6" w14:textId="77777777" w:rsidR="0047738E" w:rsidRPr="0017594C" w:rsidRDefault="0047738E" w:rsidP="00B72620">
      <w:pPr>
        <w:spacing w:line="288" w:lineRule="auto"/>
        <w:jc w:val="both"/>
        <w:rPr>
          <w:lang w:val="sk-SK"/>
        </w:rPr>
      </w:pPr>
    </w:p>
    <w:p w14:paraId="01291AC7" w14:textId="77777777" w:rsidR="0047738E" w:rsidRPr="0017594C" w:rsidRDefault="0047738E" w:rsidP="00B72620">
      <w:pPr>
        <w:spacing w:line="288" w:lineRule="auto"/>
        <w:jc w:val="both"/>
        <w:rPr>
          <w:lang w:val="sk-SK"/>
        </w:rPr>
      </w:pPr>
    </w:p>
    <w:p w14:paraId="01291AC8" w14:textId="77777777" w:rsidR="0047738E" w:rsidRPr="0017594C" w:rsidRDefault="0047738E" w:rsidP="00B72620">
      <w:pPr>
        <w:spacing w:line="288" w:lineRule="auto"/>
        <w:jc w:val="both"/>
        <w:rPr>
          <w:lang w:val="sk-SK"/>
        </w:rPr>
      </w:pPr>
    </w:p>
    <w:p w14:paraId="01291AC9" w14:textId="77777777" w:rsidR="0047738E" w:rsidRPr="0017594C" w:rsidRDefault="0047738E" w:rsidP="00B72620">
      <w:pPr>
        <w:spacing w:line="288" w:lineRule="auto"/>
        <w:jc w:val="both"/>
        <w:rPr>
          <w:lang w:val="sk-SK"/>
        </w:rPr>
      </w:pPr>
    </w:p>
    <w:p w14:paraId="01291ACA" w14:textId="77777777" w:rsidR="0047738E" w:rsidRPr="0017594C" w:rsidRDefault="0047738E" w:rsidP="00B72620">
      <w:pPr>
        <w:spacing w:line="288" w:lineRule="auto"/>
        <w:jc w:val="both"/>
        <w:rPr>
          <w:lang w:val="sk-SK"/>
        </w:rPr>
      </w:pPr>
    </w:p>
    <w:p w14:paraId="01291ACB" w14:textId="77777777" w:rsidR="0047738E" w:rsidRPr="0017594C" w:rsidRDefault="0047738E" w:rsidP="00B72620">
      <w:pPr>
        <w:spacing w:line="288" w:lineRule="auto"/>
        <w:jc w:val="both"/>
        <w:rPr>
          <w:lang w:val="sk-SK"/>
        </w:rPr>
      </w:pPr>
    </w:p>
    <w:p w14:paraId="01291ACC" w14:textId="77777777" w:rsidR="0015128C" w:rsidRPr="0017594C" w:rsidRDefault="0015128C" w:rsidP="00B72620">
      <w:pPr>
        <w:spacing w:line="288" w:lineRule="auto"/>
        <w:jc w:val="both"/>
        <w:rPr>
          <w:lang w:val="sk-SK"/>
        </w:rPr>
      </w:pPr>
    </w:p>
    <w:p w14:paraId="01291ACD" w14:textId="77777777" w:rsidR="00F13B33" w:rsidRPr="0017594C" w:rsidRDefault="00F13B33" w:rsidP="00B72620">
      <w:pPr>
        <w:spacing w:line="288" w:lineRule="auto"/>
        <w:jc w:val="both"/>
        <w:rPr>
          <w:lang w:val="sk-SK"/>
        </w:rPr>
      </w:pPr>
    </w:p>
    <w:p w14:paraId="01291ACE" w14:textId="77777777" w:rsidR="00F13B33" w:rsidRPr="0017594C" w:rsidRDefault="00F13B33" w:rsidP="00B72620">
      <w:pPr>
        <w:spacing w:line="288" w:lineRule="auto"/>
        <w:jc w:val="both"/>
        <w:rPr>
          <w:lang w:val="sk-SK"/>
        </w:rPr>
      </w:pPr>
    </w:p>
    <w:p w14:paraId="01291ACF" w14:textId="77777777" w:rsidR="00F13B33" w:rsidRPr="0017594C" w:rsidRDefault="00F13B33" w:rsidP="00B72620">
      <w:pPr>
        <w:spacing w:line="288" w:lineRule="auto"/>
        <w:jc w:val="both"/>
        <w:rPr>
          <w:lang w:val="sk-SK"/>
        </w:rPr>
      </w:pPr>
    </w:p>
    <w:p w14:paraId="01291AD0" w14:textId="77777777" w:rsidR="00A2030D" w:rsidRPr="0073389C" w:rsidRDefault="00A2030D" w:rsidP="000D0F3E">
      <w:pPr>
        <w:spacing w:line="288" w:lineRule="auto"/>
        <w:jc w:val="both"/>
        <w:rPr>
          <w:rFonts w:cs="Arial"/>
          <w:i/>
          <w:iCs/>
          <w:szCs w:val="19"/>
          <w:lang w:val="sk-SK"/>
        </w:rPr>
      </w:pPr>
    </w:p>
    <w:p w14:paraId="01291AD1" w14:textId="77777777" w:rsidR="00F13B33" w:rsidRPr="0017594C" w:rsidRDefault="00F13B33">
      <w:pPr>
        <w:jc w:val="both"/>
        <w:rPr>
          <w:i/>
          <w:iCs/>
          <w:sz w:val="20"/>
          <w:szCs w:val="20"/>
          <w:lang w:val="sk-SK"/>
        </w:rPr>
      </w:pPr>
      <w:r w:rsidRPr="0017594C">
        <w:rPr>
          <w:i/>
          <w:iCs/>
          <w:sz w:val="20"/>
          <w:szCs w:val="20"/>
          <w:lang w:val="sk-SK"/>
        </w:rPr>
        <w:br w:type="page"/>
      </w:r>
    </w:p>
    <w:p w14:paraId="01291AD2" w14:textId="77777777" w:rsidR="00F13B33" w:rsidRPr="0017594C" w:rsidRDefault="00F13B33" w:rsidP="00B72620">
      <w:pPr>
        <w:pStyle w:val="Nadpis1"/>
        <w:numPr>
          <w:ilvl w:val="0"/>
          <w:numId w:val="0"/>
        </w:numPr>
        <w:jc w:val="both"/>
        <w:rPr>
          <w:lang w:val="sk-SK"/>
        </w:rPr>
      </w:pPr>
      <w:bookmarkStart w:id="35" w:name="_Toc440375085"/>
      <w:r w:rsidRPr="0017594C">
        <w:rPr>
          <w:lang w:val="sk-SK"/>
        </w:rPr>
        <w:lastRenderedPageBreak/>
        <w:t>Obsah</w:t>
      </w:r>
      <w:bookmarkEnd w:id="35"/>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845C7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46472E11" w14:textId="77777777" w:rsidR="00561FA9" w:rsidRDefault="00845C7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33BF19B1" w14:textId="77777777" w:rsidR="00561FA9" w:rsidRDefault="00845C7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45497B22" w14:textId="77777777" w:rsidR="00561FA9" w:rsidRDefault="00845C7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940F0F">
          <w:rPr>
            <w:noProof/>
            <w:webHidden/>
          </w:rPr>
          <w:t>6</w:t>
        </w:r>
        <w:r w:rsidR="00561FA9">
          <w:rPr>
            <w:noProof/>
            <w:webHidden/>
          </w:rPr>
          <w:fldChar w:fldCharType="end"/>
        </w:r>
      </w:hyperlink>
    </w:p>
    <w:p w14:paraId="2F05AD68" w14:textId="77777777" w:rsidR="00561FA9" w:rsidRDefault="00845C7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07DA3165" w14:textId="77777777" w:rsidR="00561FA9" w:rsidRDefault="00845C7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58A5B586" w14:textId="77777777" w:rsidR="00561FA9" w:rsidRDefault="00845C7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6831BA9B" w14:textId="77777777" w:rsidR="00561FA9" w:rsidRDefault="00845C7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56D0BFD9" w14:textId="77777777" w:rsidR="00561FA9" w:rsidRDefault="00845C7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215CC51F" w14:textId="77777777" w:rsidR="00561FA9" w:rsidRDefault="00845C7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7F02EF34" w14:textId="77777777" w:rsidR="00561FA9" w:rsidRDefault="00845C7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2E9F9FE5" w14:textId="4449E2E6" w:rsidR="00561FA9" w:rsidRDefault="00845C7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940F0F">
          <w:rPr>
            <w:noProof/>
            <w:webHidden/>
          </w:rPr>
          <w:t>13</w:t>
        </w:r>
        <w:r w:rsidR="00561FA9">
          <w:rPr>
            <w:noProof/>
            <w:webHidden/>
          </w:rPr>
          <w:fldChar w:fldCharType="end"/>
        </w:r>
      </w:hyperlink>
    </w:p>
    <w:p w14:paraId="3CC5CD5D" w14:textId="77777777" w:rsidR="00561FA9" w:rsidRDefault="00845C7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940F0F">
          <w:rPr>
            <w:noProof/>
            <w:webHidden/>
          </w:rPr>
          <w:t>13</w:t>
        </w:r>
        <w:r w:rsidR="00561FA9">
          <w:rPr>
            <w:noProof/>
            <w:webHidden/>
          </w:rPr>
          <w:fldChar w:fldCharType="end"/>
        </w:r>
      </w:hyperlink>
    </w:p>
    <w:p w14:paraId="0B6432F8" w14:textId="77777777" w:rsidR="00561FA9" w:rsidRDefault="00845C7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940F0F">
          <w:rPr>
            <w:noProof/>
            <w:webHidden/>
          </w:rPr>
          <w:t>16</w:t>
        </w:r>
        <w:r w:rsidR="00561FA9">
          <w:rPr>
            <w:noProof/>
            <w:webHidden/>
          </w:rPr>
          <w:fldChar w:fldCharType="end"/>
        </w:r>
      </w:hyperlink>
    </w:p>
    <w:p w14:paraId="1E0400D4" w14:textId="787B198A" w:rsidR="00561FA9" w:rsidRDefault="00845C7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940F0F">
          <w:rPr>
            <w:noProof/>
            <w:webHidden/>
          </w:rPr>
          <w:t>17</w:t>
        </w:r>
        <w:r w:rsidR="00561FA9">
          <w:rPr>
            <w:noProof/>
            <w:webHidden/>
          </w:rPr>
          <w:fldChar w:fldCharType="end"/>
        </w:r>
      </w:hyperlink>
    </w:p>
    <w:p w14:paraId="1AA0895A" w14:textId="77777777" w:rsidR="00561FA9" w:rsidRDefault="00845C7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940F0F">
          <w:rPr>
            <w:noProof/>
            <w:webHidden/>
          </w:rPr>
          <w:t>17</w:t>
        </w:r>
        <w:r w:rsidR="00561FA9">
          <w:rPr>
            <w:noProof/>
            <w:webHidden/>
          </w:rPr>
          <w:fldChar w:fldCharType="end"/>
        </w:r>
      </w:hyperlink>
    </w:p>
    <w:p w14:paraId="1BC20E59" w14:textId="77777777" w:rsidR="00561FA9" w:rsidRDefault="00845C7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940F0F">
          <w:rPr>
            <w:noProof/>
            <w:webHidden/>
          </w:rPr>
          <w:t>18</w:t>
        </w:r>
        <w:r w:rsidR="00561FA9">
          <w:rPr>
            <w:noProof/>
            <w:webHidden/>
          </w:rPr>
          <w:fldChar w:fldCharType="end"/>
        </w:r>
      </w:hyperlink>
    </w:p>
    <w:p w14:paraId="7EAD3F33" w14:textId="77777777" w:rsidR="00561FA9" w:rsidRDefault="00845C7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940F0F">
          <w:rPr>
            <w:noProof/>
            <w:webHidden/>
          </w:rPr>
          <w:t>19</w:t>
        </w:r>
        <w:r w:rsidR="00561FA9">
          <w:rPr>
            <w:noProof/>
            <w:webHidden/>
          </w:rPr>
          <w:fldChar w:fldCharType="end"/>
        </w:r>
      </w:hyperlink>
    </w:p>
    <w:p w14:paraId="575E83AF" w14:textId="77777777" w:rsidR="00561FA9" w:rsidRDefault="00845C7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940F0F">
          <w:rPr>
            <w:noProof/>
            <w:webHidden/>
          </w:rPr>
          <w:t>19</w:t>
        </w:r>
        <w:r w:rsidR="00561FA9">
          <w:rPr>
            <w:noProof/>
            <w:webHidden/>
          </w:rPr>
          <w:fldChar w:fldCharType="end"/>
        </w:r>
      </w:hyperlink>
    </w:p>
    <w:p w14:paraId="5FEEA9AA" w14:textId="77777777" w:rsidR="00561FA9" w:rsidRDefault="00845C7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940F0F">
          <w:rPr>
            <w:noProof/>
            <w:webHidden/>
          </w:rPr>
          <w:t>20</w:t>
        </w:r>
        <w:r w:rsidR="00561FA9">
          <w:rPr>
            <w:noProof/>
            <w:webHidden/>
          </w:rPr>
          <w:fldChar w:fldCharType="end"/>
        </w:r>
      </w:hyperlink>
    </w:p>
    <w:p w14:paraId="61EFB779" w14:textId="77777777" w:rsidR="00561FA9" w:rsidRDefault="00845C70">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940F0F">
          <w:rPr>
            <w:noProof/>
            <w:webHidden/>
          </w:rPr>
          <w:t>21</w:t>
        </w:r>
        <w:r w:rsidR="00561FA9">
          <w:rPr>
            <w:noProof/>
            <w:webHidden/>
          </w:rPr>
          <w:fldChar w:fldCharType="end"/>
        </w:r>
      </w:hyperlink>
    </w:p>
    <w:p w14:paraId="445E7932" w14:textId="77777777" w:rsidR="00561FA9" w:rsidRDefault="00845C70">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940F0F">
          <w:rPr>
            <w:noProof/>
            <w:webHidden/>
          </w:rPr>
          <w:t>21</w:t>
        </w:r>
        <w:r w:rsidR="00561FA9">
          <w:rPr>
            <w:noProof/>
            <w:webHidden/>
          </w:rPr>
          <w:fldChar w:fldCharType="end"/>
        </w:r>
      </w:hyperlink>
    </w:p>
    <w:p w14:paraId="775C3DA4" w14:textId="77777777" w:rsidR="00561FA9" w:rsidRDefault="00845C70">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940F0F">
          <w:rPr>
            <w:noProof/>
            <w:webHidden/>
          </w:rPr>
          <w:t>22</w:t>
        </w:r>
        <w:r w:rsidR="00561FA9">
          <w:rPr>
            <w:noProof/>
            <w:webHidden/>
          </w:rPr>
          <w:fldChar w:fldCharType="end"/>
        </w:r>
      </w:hyperlink>
    </w:p>
    <w:p w14:paraId="28B5AB8C" w14:textId="77777777" w:rsidR="00561FA9" w:rsidRDefault="00845C7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940F0F">
          <w:rPr>
            <w:noProof/>
            <w:webHidden/>
          </w:rPr>
          <w:t>25</w:t>
        </w:r>
        <w:r w:rsidR="00561FA9">
          <w:rPr>
            <w:noProof/>
            <w:webHidden/>
          </w:rPr>
          <w:fldChar w:fldCharType="end"/>
        </w:r>
      </w:hyperlink>
    </w:p>
    <w:p w14:paraId="5C82F426" w14:textId="77777777" w:rsidR="00561FA9" w:rsidRDefault="00845C70">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940F0F">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36" w:name="_Toc440375086"/>
      <w:r w:rsidR="0015128C" w:rsidRPr="0017594C">
        <w:rPr>
          <w:lang w:val="sk-SK"/>
        </w:rPr>
        <w:t>Úvod</w:t>
      </w:r>
      <w:bookmarkEnd w:id="36"/>
    </w:p>
    <w:p w14:paraId="01291AEB" w14:textId="77777777" w:rsidR="0015128C" w:rsidRPr="00B519B4" w:rsidRDefault="00425889" w:rsidP="00B72620">
      <w:pPr>
        <w:pStyle w:val="Nadpis2"/>
        <w:jc w:val="both"/>
        <w:rPr>
          <w:lang w:val="sk-SK"/>
        </w:rPr>
      </w:pPr>
      <w:bookmarkStart w:id="37" w:name="_Toc440375087"/>
      <w:r w:rsidRPr="0017594C">
        <w:rPr>
          <w:lang w:val="sk-SK"/>
        </w:rPr>
        <w:t>Cieľ prí</w:t>
      </w:r>
      <w:r w:rsidR="0015128C" w:rsidRPr="00B519B4">
        <w:rPr>
          <w:lang w:val="sk-SK"/>
        </w:rPr>
        <w:t>ručky</w:t>
      </w:r>
      <w:bookmarkEnd w:id="37"/>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38" w:name="_Toc440375088"/>
      <w:r w:rsidRPr="0017594C">
        <w:rPr>
          <w:lang w:val="sk-SK"/>
        </w:rPr>
        <w:t>Zoznam použitých skratiek</w:t>
      </w:r>
      <w:bookmarkEnd w:id="38"/>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39" w:name="_Toc440375089"/>
      <w:r w:rsidRPr="0017594C">
        <w:rPr>
          <w:lang w:val="sk-SK"/>
        </w:rPr>
        <w:t>Definícia pojmov</w:t>
      </w:r>
      <w:bookmarkEnd w:id="39"/>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01291B4E"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w:t>
      </w:r>
      <w:r w:rsidRPr="008562C0">
        <w:rPr>
          <w:szCs w:val="19"/>
          <w:lang w:val="sk-SK"/>
        </w:rPr>
        <w:lastRenderedPageBreak/>
        <w:t xml:space="preserve">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40" w:name="_Toc440375090"/>
      <w:r w:rsidRPr="0017594C">
        <w:rPr>
          <w:lang w:val="sk-SK"/>
        </w:rPr>
        <w:lastRenderedPageBreak/>
        <w:t>Schvaľovanie žiadostí o</w:t>
      </w:r>
      <w:r w:rsidR="00DF2BBA" w:rsidRPr="0017594C">
        <w:rPr>
          <w:lang w:val="sk-SK"/>
        </w:rPr>
        <w:t> </w:t>
      </w:r>
      <w:r w:rsidRPr="0017594C">
        <w:rPr>
          <w:lang w:val="sk-SK"/>
        </w:rPr>
        <w:t>NFP</w:t>
      </w:r>
      <w:bookmarkEnd w:id="40"/>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41" w:name="_Toc440375091"/>
      <w:r w:rsidRPr="0017594C">
        <w:rPr>
          <w:lang w:val="sk-SK"/>
        </w:rPr>
        <w:t>Administratívne overenie</w:t>
      </w:r>
      <w:r w:rsidR="008C5965" w:rsidRPr="0017594C">
        <w:rPr>
          <w:lang w:val="sk-SK"/>
        </w:rPr>
        <w:t xml:space="preserve"> žiadostí o NFP</w:t>
      </w:r>
      <w:bookmarkEnd w:id="41"/>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42"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42"/>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43" w:name="_Toc440375093"/>
      <w:r w:rsidRPr="0017594C">
        <w:rPr>
          <w:lang w:val="sk-SK"/>
        </w:rPr>
        <w:t>Vydávanie rozhodnutí</w:t>
      </w:r>
      <w:bookmarkEnd w:id="43"/>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44" w:name="_Toc440375094"/>
      <w:r w:rsidRPr="0017594C">
        <w:rPr>
          <w:lang w:val="sk-SK"/>
        </w:rPr>
        <w:lastRenderedPageBreak/>
        <w:t>P</w:t>
      </w:r>
      <w:r w:rsidR="00AF05C9" w:rsidRPr="0017594C">
        <w:rPr>
          <w:lang w:val="sk-SK"/>
        </w:rPr>
        <w:t>opis procesov odborného hodnotenia</w:t>
      </w:r>
      <w:bookmarkEnd w:id="44"/>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45" w:name="_Toc440375095"/>
      <w:r w:rsidRPr="0017594C">
        <w:rPr>
          <w:lang w:val="sk-SK"/>
        </w:rPr>
        <w:t>Kritér</w:t>
      </w:r>
      <w:r w:rsidR="00D46D27" w:rsidRPr="00B519B4">
        <w:rPr>
          <w:lang w:val="sk-SK"/>
        </w:rPr>
        <w:t>iá pre výber projektov</w:t>
      </w:r>
      <w:bookmarkEnd w:id="45"/>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46" w:name="_Toc440375096"/>
      <w:r w:rsidRPr="0017594C">
        <w:rPr>
          <w:lang w:val="sk-SK"/>
        </w:rPr>
        <w:t>Výber odborných hodnotiteľov</w:t>
      </w:r>
      <w:bookmarkEnd w:id="46"/>
    </w:p>
    <w:p w14:paraId="01291B89" w14:textId="6B6DE36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00B3573C" w:rsidRPr="00B3573C">
          <w:rPr>
            <w:rStyle w:val="Hypertextovprepojenie"/>
            <w:lang w:val="sk-SK"/>
          </w:rPr>
          <w:t>eufondy@vlada.gov.sk</w:t>
        </w:r>
      </w:hyperlink>
      <w:r w:rsidR="00B3573C" w:rsidRPr="00B3573C">
        <w:rPr>
          <w:szCs w:val="19"/>
          <w:lang w:val="sk-SK"/>
        </w:rPr>
        <w:t xml:space="preserve">(na základe informácie bude link na výzvu zverejnený na webovom sídle </w:t>
      </w:r>
      <w:hyperlink r:id="rId14" w:history="1">
        <w:r w:rsidR="00B3573C" w:rsidRPr="00B3573C">
          <w:rPr>
            <w:rStyle w:val="Hypertextovprepojenie"/>
            <w:szCs w:val="19"/>
            <w:lang w:val="sk-SK"/>
          </w:rPr>
          <w:t>www.partnerskadohoda.gov.sk</w:t>
        </w:r>
      </w:hyperlink>
      <w:r w:rsidR="00B3573C" w:rsidRPr="00B3573C">
        <w:rPr>
          <w:szCs w:val="19"/>
          <w:u w:val="single"/>
          <w:lang w:val="sk-SK"/>
        </w:rPr>
        <w:t>)</w:t>
      </w:r>
      <w:r w:rsidRPr="0017594C">
        <w:rPr>
          <w:szCs w:val="19"/>
          <w:lang w:val="sk-SK"/>
        </w:rPr>
        <w:t>.</w:t>
      </w:r>
    </w:p>
    <w:p w14:paraId="745D57FD" w14:textId="7C34D096"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r w:rsidR="00E5099E">
        <w:rPr>
          <w:szCs w:val="19"/>
        </w:rPr>
        <w:t xml:space="preserve">spĺňajúce minimálne štandardy podľa MP CKO č. 29 k výberu odborných </w:t>
      </w:r>
      <w:r w:rsidR="004B6E82">
        <w:rPr>
          <w:szCs w:val="19"/>
        </w:rPr>
        <w:t>hodnotiteľov</w:t>
      </w:r>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del w:id="47" w:author="Autor">
        <w:r w:rsidRPr="007B21BF" w:rsidDel="00304719">
          <w:rPr>
            <w:rFonts w:cs="Arial"/>
            <w:szCs w:val="19"/>
            <w:lang w:val="sk-SK"/>
          </w:rPr>
          <w:delText>.</w:delText>
        </w:r>
      </w:del>
      <w:r w:rsidRPr="00C75924">
        <w:rPr>
          <w:rFonts w:cs="Arial"/>
          <w:szCs w:val="19"/>
          <w:lang w:val="sk-SK"/>
        </w:rPr>
        <w:t xml:space="preserve">.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96B7AF" w:rsidR="00E61290" w:rsidRPr="007B21BF" w:rsidRDefault="00D7430E" w:rsidP="00E61290">
      <w:pPr>
        <w:spacing w:before="120" w:after="120" w:line="288" w:lineRule="auto"/>
        <w:jc w:val="both"/>
        <w:rPr>
          <w:rFonts w:cs="Arial"/>
          <w:szCs w:val="19"/>
          <w:lang w:val="sk-SK"/>
        </w:rPr>
      </w:pPr>
      <w:r>
        <w:rPr>
          <w:szCs w:val="19"/>
        </w:rPr>
        <w:t>O</w:t>
      </w:r>
      <w:r w:rsidRPr="001C44C7">
        <w:rPr>
          <w:szCs w:val="19"/>
        </w:rPr>
        <w:t>dborn</w:t>
      </w:r>
      <w:r>
        <w:rPr>
          <w:szCs w:val="19"/>
        </w:rPr>
        <w:t>í</w:t>
      </w:r>
      <w:r w:rsidRPr="001C44C7">
        <w:rPr>
          <w:szCs w:val="19"/>
        </w:rPr>
        <w:t xml:space="preserve"> hodnotite</w:t>
      </w:r>
      <w:r>
        <w:rPr>
          <w:szCs w:val="19"/>
        </w:rPr>
        <w:t>lia</w:t>
      </w:r>
      <w:r w:rsidRPr="001C44C7">
        <w:rPr>
          <w:szCs w:val="19"/>
        </w:rPr>
        <w:t>, ktorí splnili podmienky v zmysle vyhlásenej výzvy na výber odborných hodnotiteľov</w:t>
      </w:r>
      <w:r>
        <w:rPr>
          <w:szCs w:val="19"/>
        </w:rPr>
        <w:t xml:space="preserve"> budú zaradení do základného zoznamu odborných hodnotiteľov. Pre odborné hodnotenie </w:t>
      </w:r>
      <w:r w:rsidRPr="001C44C7">
        <w:rPr>
          <w:szCs w:val="19"/>
        </w:rPr>
        <w:t>konkrétnej výzvy</w:t>
      </w:r>
      <w:r>
        <w:rPr>
          <w:szCs w:val="19"/>
        </w:rPr>
        <w:t xml:space="preserve"> vyberie VO MaH</w:t>
      </w:r>
      <w:r w:rsidRPr="001C44C7">
        <w:rPr>
          <w:szCs w:val="19"/>
        </w:rPr>
        <w:t xml:space="preserve"> v spolupráci s VO PaM </w:t>
      </w:r>
      <w:r>
        <w:rPr>
          <w:szCs w:val="19"/>
        </w:rPr>
        <w:t xml:space="preserve">zo základného zoznamu všetkých </w:t>
      </w:r>
      <w:r w:rsidRPr="001C44C7">
        <w:rPr>
          <w:szCs w:val="19"/>
        </w:rPr>
        <w:t xml:space="preserve">odborných hodnotiteľov </w:t>
      </w:r>
      <w:r>
        <w:rPr>
          <w:szCs w:val="19"/>
        </w:rPr>
        <w:t>podľa oblasti ich špecifickej odbornosti</w:t>
      </w:r>
      <w:r w:rsidRPr="001C44C7">
        <w:rPr>
          <w:szCs w:val="19"/>
        </w:rPr>
        <w:t>.</w:t>
      </w:r>
      <w:r w:rsidR="00E61290" w:rsidRPr="007B21BF">
        <w:rPr>
          <w:rFonts w:cs="Arial"/>
          <w:szCs w:val="19"/>
          <w:lang w:val="sk-SK"/>
        </w:rPr>
        <w:t xml:space="preserve"> </w:t>
      </w:r>
    </w:p>
    <w:p w14:paraId="6A40F9CD" w14:textId="7B3529C6" w:rsidR="00E61290" w:rsidDel="00304719" w:rsidRDefault="00E61290" w:rsidP="00E61290">
      <w:pPr>
        <w:spacing w:before="120" w:after="120" w:line="288" w:lineRule="auto"/>
        <w:jc w:val="both"/>
        <w:rPr>
          <w:del w:id="48" w:author="Autor"/>
          <w:rFonts w:cs="Arial"/>
          <w:szCs w:val="19"/>
          <w:highlight w:val="yellow"/>
          <w:lang w:val="sk-SK"/>
        </w:rPr>
      </w:pPr>
      <w:del w:id="49" w:author="Autor">
        <w:r w:rsidRPr="00940F0F" w:rsidDel="00304719">
          <w:rPr>
            <w:rFonts w:cs="Arial"/>
            <w:szCs w:val="19"/>
            <w:highlight w:val="yellow"/>
            <w:lang w:val="sk-SK"/>
          </w:rPr>
          <w:delText>.</w:delText>
        </w:r>
        <w:r w:rsidR="00D7430E" w:rsidDel="00304719">
          <w:rPr>
            <w:rFonts w:cs="Arial"/>
            <w:szCs w:val="19"/>
            <w:highlight w:val="yellow"/>
            <w:lang w:val="sk-SK"/>
          </w:rPr>
          <w:delText xml:space="preserve"> </w:delText>
        </w:r>
      </w:del>
    </w:p>
    <w:p w14:paraId="2A69FABB" w14:textId="38BDE43B" w:rsidR="00D7430E" w:rsidRDefault="00341A7D" w:rsidP="00E61290">
      <w:pPr>
        <w:spacing w:before="120" w:after="120" w:line="288" w:lineRule="auto"/>
        <w:jc w:val="both"/>
        <w:rPr>
          <w:rFonts w:cs="Arial"/>
          <w:szCs w:val="18"/>
        </w:rPr>
      </w:pPr>
      <w:r>
        <w:rPr>
          <w:szCs w:val="19"/>
        </w:rPr>
        <w:lastRenderedPageBreak/>
        <w:t xml:space="preserve">V prípade plnej funkčnosti a dostupnosti relevantnej funkcionality v ITMS 2014+, zabezpečí VO MaH výber odborných hodnotieľov a ich priradenie k ŽoNFP prostredníctvom ITMS. </w:t>
      </w:r>
      <w:r w:rsidRPr="00027142">
        <w:rPr>
          <w:rFonts w:cs="Arial"/>
          <w:szCs w:val="18"/>
        </w:rPr>
        <w:t>Po</w:t>
      </w:r>
      <w:r>
        <w:rPr>
          <w:rFonts w:cs="Arial"/>
          <w:szCs w:val="18"/>
        </w:rPr>
        <w:t xml:space="preserve"> takomto</w:t>
      </w:r>
      <w:r w:rsidRPr="00027142">
        <w:rPr>
          <w:rFonts w:cs="Arial"/>
          <w:szCs w:val="18"/>
        </w:rPr>
        <w:t xml:space="preserve"> </w:t>
      </w:r>
      <w:r>
        <w:rPr>
          <w:rFonts w:cs="Arial"/>
          <w:szCs w:val="18"/>
        </w:rPr>
        <w:t xml:space="preserve">výbere </w:t>
      </w:r>
      <w:r w:rsidRPr="00027142">
        <w:rPr>
          <w:rFonts w:cs="Arial"/>
          <w:szCs w:val="18"/>
        </w:rPr>
        <w:t xml:space="preserve"> a </w:t>
      </w:r>
      <w:r>
        <w:rPr>
          <w:rFonts w:cs="Arial"/>
          <w:szCs w:val="18"/>
        </w:rPr>
        <w:t>pridelení</w:t>
      </w:r>
      <w:r w:rsidRPr="00027142">
        <w:rPr>
          <w:rFonts w:cs="Arial"/>
          <w:szCs w:val="18"/>
        </w:rPr>
        <w:t xml:space="preserve"> ŽoNFP odborným hodnotiteľom, RO v prípade externých hodnotiteľov informuje odborných hodnotiteľov o termíne  podpisu dohody o vykonaní práce medzi hodnotiteľmi a RO pre OP EVS/ MV SR a zároveň o termíne školenia a začatia hodnotenia</w:t>
      </w:r>
      <w:r>
        <w:rPr>
          <w:rFonts w:cs="Arial"/>
          <w:szCs w:val="18"/>
        </w:rPr>
        <w:t>.</w:t>
      </w:r>
    </w:p>
    <w:p w14:paraId="6DEE01D5" w14:textId="4F370BC1" w:rsidR="004767D7" w:rsidRPr="007B21BF" w:rsidRDefault="004767D7" w:rsidP="00E61290">
      <w:pPr>
        <w:spacing w:before="120" w:after="120" w:line="288" w:lineRule="auto"/>
        <w:jc w:val="both"/>
        <w:rPr>
          <w:rFonts w:cs="Arial"/>
          <w:szCs w:val="19"/>
          <w:lang w:val="sk-SK"/>
        </w:rPr>
      </w:pPr>
      <w:r>
        <w:rPr>
          <w:rFonts w:cs="Arial"/>
          <w:szCs w:val="18"/>
        </w:rPr>
        <w:t xml:space="preserve">Do času plnej funkčnosti a dostupnosti </w:t>
      </w:r>
      <w:r>
        <w:rPr>
          <w:szCs w:val="19"/>
        </w:rPr>
        <w:t xml:space="preserve">výberu odborných hodnotieľov a ich priradenia k ŽoNFP prostredníctvom ITMS, bude RO pre OP EVS postupovať nasledovne. </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Následne RO stanoví termín prideľovania ŽoNFP formou žrebovania jednotlivým odborným hodnotiteľom</w:t>
      </w:r>
      <w:r w:rsidR="008436AD" w:rsidRPr="00BE54EC">
        <w:rPr>
          <w:rFonts w:cs="Arial"/>
          <w:szCs w:val="19"/>
          <w:lang w:val="sk-SK"/>
        </w:rPr>
        <w:t>, ktorý je upravený v interných procedúrach RO</w:t>
      </w:r>
      <w:r w:rsidR="00A5083B" w:rsidRPr="00BE54EC">
        <w:rPr>
          <w:rFonts w:cs="Arial"/>
          <w:szCs w:val="19"/>
          <w:lang w:val="sk-SK"/>
        </w:rPr>
        <w:t>.</w:t>
      </w:r>
    </w:p>
    <w:p w14:paraId="3856440E" w14:textId="55320C29" w:rsidR="00E61290" w:rsidRPr="007B21BF" w:rsidRDefault="008436AD" w:rsidP="00E61290">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1120CAFC"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01291B8F" w14:textId="77777777" w:rsidR="0075585E" w:rsidRPr="0017594C" w:rsidRDefault="0075585E" w:rsidP="008979DA">
      <w:pPr>
        <w:pStyle w:val="Nadpis2"/>
        <w:jc w:val="both"/>
        <w:rPr>
          <w:lang w:val="sk-SK"/>
        </w:rPr>
      </w:pPr>
      <w:bookmarkStart w:id="50" w:name="_Toc440375097"/>
      <w:r w:rsidRPr="0017594C">
        <w:rPr>
          <w:lang w:val="sk-SK"/>
        </w:rPr>
        <w:t>Školenie odborných hodnotiteľov</w:t>
      </w:r>
      <w:bookmarkEnd w:id="50"/>
    </w:p>
    <w:p w14:paraId="01291B90" w14:textId="21A0AB0A"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51" w:name="_Toc440375098"/>
      <w:r w:rsidRPr="0017594C">
        <w:rPr>
          <w:lang w:val="sk-SK"/>
        </w:rPr>
        <w:t>Organizačné a technické zabezpečenie priebehu odborného</w:t>
      </w:r>
      <w:r w:rsidRPr="00B519B4">
        <w:rPr>
          <w:lang w:val="sk-SK"/>
        </w:rPr>
        <w:t xml:space="preserve"> hodnotenia</w:t>
      </w:r>
      <w:bookmarkEnd w:id="51"/>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lastRenderedPageBreak/>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w:t>
      </w:r>
      <w:r w:rsidRPr="00B519B4">
        <w:rPr>
          <w:szCs w:val="19"/>
          <w:lang w:val="sk-SK"/>
        </w:rPr>
        <w:lastRenderedPageBreak/>
        <w:t xml:space="preserve">v príručke pre odborných hodnotiteľov. </w:t>
      </w:r>
      <w:r w:rsidRPr="0017594C">
        <w:rPr>
          <w:szCs w:val="19"/>
          <w:lang w:val="sk-SK"/>
        </w:rPr>
        <w:t>RO stanoví lehotu alebo konečný termín na vykonanie odborného hodnotenia v závislosti od podmienok predmetnej výzvy/vyzvania, v závislosti od počtu ŽoNFP, ktoré splnili 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5"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lastRenderedPageBreak/>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52" w:name="_Toc440375099"/>
      <w:r w:rsidRPr="0017594C">
        <w:rPr>
          <w:lang w:val="sk-SK"/>
        </w:rPr>
        <w:t>Spôsob vypracovania, odovzdávania a zadávania výstupov z odborného hodnotenia zo strany odborného hodnotiteľa</w:t>
      </w:r>
      <w:bookmarkEnd w:id="52"/>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7AAE8F14"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xml:space="preserve">. S výnimkou prípravy spoločného odborného hodnotiaceho posudku si </w:t>
      </w:r>
      <w:r w:rsidRPr="0017594C">
        <w:rPr>
          <w:rFonts w:cs="Times New Roman"/>
          <w:sz w:val="19"/>
          <w:szCs w:val="48"/>
          <w:lang w:val="sk-SK"/>
        </w:rPr>
        <w:lastRenderedPageBreak/>
        <w:t>hodnotitelia medzi sebou nesmú informácie z hodnotenia konkrétnych ŽoNFP vymieňať. Úlohou oboch 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7A7F644E" w14:textId="5BD1F372"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53" w:name="_Toc440375100"/>
      <w:r w:rsidRPr="0017594C">
        <w:rPr>
          <w:lang w:val="sk-SK"/>
        </w:rPr>
        <w:t>Postupy uplatňované v prípadoch nezhody odborných hodnotiteľov</w:t>
      </w:r>
      <w:bookmarkEnd w:id="53"/>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54" w:name="_Toc440375101"/>
      <w:bookmarkStart w:id="55" w:name="_Toc413702946"/>
      <w:r w:rsidRPr="00B519B4">
        <w:rPr>
          <w:lang w:val="sk-SK"/>
        </w:rPr>
        <w:t>Overenie činnosti hodnotiteľov</w:t>
      </w:r>
      <w:bookmarkEnd w:id="54"/>
      <w:r w:rsidRPr="00B519B4">
        <w:rPr>
          <w:lang w:val="sk-SK"/>
        </w:rPr>
        <w:t xml:space="preserve"> </w:t>
      </w:r>
    </w:p>
    <w:p w14:paraId="777BD9E9" w14:textId="29A1A125" w:rsidR="00CC5EB5" w:rsidRDefault="00CC5EB5" w:rsidP="00512842">
      <w:pPr>
        <w:spacing w:before="120" w:after="120" w:line="288" w:lineRule="auto"/>
        <w:jc w:val="both"/>
      </w:pPr>
      <w:r w:rsidRPr="005243B9">
        <w:t xml:space="preserve">RO je oprávnený preverovať a vyhodnocovať kvalitu práce odborných hodnotiteľov. V prípade nedostatočnej kvality ich práce je RO oprávnený vylúčiť odborných hodnotiteľov zo zoznamu odborných hodnotiteľov. </w:t>
      </w:r>
    </w:p>
    <w:p w14:paraId="01291BB8" w14:textId="6563C371"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w:t>
      </w:r>
      <w:r w:rsidRPr="0017594C">
        <w:rPr>
          <w:szCs w:val="19"/>
          <w:lang w:val="sk-SK"/>
        </w:rPr>
        <w:lastRenderedPageBreak/>
        <w:t xml:space="preserve">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D7E0114" w14:textId="7BDA1C7B"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opakované hodnotenie ŽoNFP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zodpovednosť</w:t>
      </w:r>
      <w:r w:rsidR="0092165E">
        <w:rPr>
          <w:szCs w:val="48"/>
          <w:lang w:val="sk-SK"/>
        </w:rPr>
        <w:t>,anylytické schopnosti</w:t>
      </w:r>
      <w:r w:rsidR="00D764A7">
        <w:rPr>
          <w:szCs w:val="48"/>
          <w:lang w:val="sk-SK"/>
        </w:rPr>
        <w:t>).</w:t>
      </w:r>
    </w:p>
    <w:p w14:paraId="01291BC4" w14:textId="5E07C2C4" w:rsidR="00B42FF3" w:rsidRDefault="00B42FF3" w:rsidP="00A06449">
      <w:pPr>
        <w:pStyle w:val="Default"/>
        <w:spacing w:before="120" w:after="120" w:line="288" w:lineRule="auto"/>
        <w:jc w:val="both"/>
        <w:rPr>
          <w:rFonts w:cs="Times New Roman"/>
          <w:sz w:val="19"/>
          <w:szCs w:val="48"/>
          <w:lang w:val="sk-SK"/>
        </w:rPr>
      </w:pP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56" w:name="_Toc440375102"/>
      <w:bookmarkEnd w:id="55"/>
      <w:r w:rsidRPr="0017594C">
        <w:rPr>
          <w:lang w:val="sk-SK"/>
        </w:rPr>
        <w:t>Účasť partnerov na odbornom hodnotení</w:t>
      </w:r>
      <w:bookmarkEnd w:id="56"/>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57" w:name="_Toc440375103"/>
      <w:r w:rsidRPr="0017594C">
        <w:rPr>
          <w:lang w:val="sk-SK"/>
        </w:rPr>
        <w:lastRenderedPageBreak/>
        <w:t>Spôsob vyhodnotenia jednotlivých kritérií pre výber projektov</w:t>
      </w:r>
      <w:bookmarkEnd w:id="57"/>
    </w:p>
    <w:p w14:paraId="01291BCB" w14:textId="77777777" w:rsidR="001C4E68" w:rsidRPr="00B519B4" w:rsidRDefault="001C4E68" w:rsidP="008979DA">
      <w:pPr>
        <w:pStyle w:val="Nadpis2"/>
        <w:jc w:val="both"/>
        <w:rPr>
          <w:lang w:val="sk-SK"/>
        </w:rPr>
      </w:pPr>
      <w:bookmarkStart w:id="58" w:name="_Toc440375104"/>
      <w:r w:rsidRPr="0017594C">
        <w:rPr>
          <w:lang w:val="sk-SK"/>
        </w:rPr>
        <w:t xml:space="preserve">Hodnotiace </w:t>
      </w:r>
      <w:r w:rsidRPr="00B519B4">
        <w:rPr>
          <w:lang w:val="sk-SK"/>
        </w:rPr>
        <w:t>kritériá žiadosti o nenávratný finančný príspevok</w:t>
      </w:r>
      <w:bookmarkEnd w:id="58"/>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5"/>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59" w:name="_Toc440375105"/>
      <w:r w:rsidRPr="0017594C">
        <w:rPr>
          <w:lang w:val="sk-SK"/>
        </w:rPr>
        <w:t>Spôsob vyhodnotenia jednotlivých kritérií pre výber projektov</w:t>
      </w:r>
      <w:bookmarkEnd w:id="59"/>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neakceptácie odporúčaní z administratívneho overovania ŽoNFP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 v oblasti oprávnenosti výdavkov. Ak hodnotiteľ neakceptuje odporúčania, je povinný podrobne zdôvodniť ich neakceptáciu.</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a o akú sumu vrátane odôvodnenia a presného výpočtu až na úroveň jednotkových cien, merných jednotiek a ich počtu.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60"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60"/>
    </w:p>
    <w:p w14:paraId="01291BF3" w14:textId="77777777" w:rsidR="0059078B" w:rsidRDefault="0059078B" w:rsidP="0059078B">
      <w:pPr>
        <w:pStyle w:val="Nadpis3"/>
        <w:rPr>
          <w:lang w:val="sk-SK"/>
        </w:rPr>
      </w:pPr>
      <w:bookmarkStart w:id="61" w:name="_Toc440375107"/>
      <w:r>
        <w:rPr>
          <w:lang w:val="sk-SK"/>
        </w:rPr>
        <w:t>Vyhodnotenie horizontálneho princípu Udržateľný rozvoj</w:t>
      </w:r>
      <w:bookmarkEnd w:id="61"/>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6"/>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integrita,profesionalita,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sú vyplnené relevantné ciele HP v nadväznosti na vybrané typy aktivít v ŽoNFP</w:t>
      </w:r>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rílohu ŽoNFP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Ak odborný hodnotiteľ uvažuje o zmene v ŽoNFP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t.j.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pro-klientská orientácia, t.j.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t.j.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62"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62"/>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63" w:name="_Toc440375109"/>
      <w:r>
        <w:rPr>
          <w:lang w:val="sk-SK"/>
        </w:rPr>
        <w:lastRenderedPageBreak/>
        <w:t>Prechodné a záverečné ustanovenia</w:t>
      </w:r>
      <w:bookmarkEnd w:id="63"/>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64" w:name="_Toc440375110"/>
      <w:r>
        <w:rPr>
          <w:lang w:val="sk-SK"/>
        </w:rPr>
        <w:lastRenderedPageBreak/>
        <w:t>Prílohy</w:t>
      </w:r>
      <w:bookmarkEnd w:id="64"/>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39D30A6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883811" w14:textId="77777777" w:rsidR="00845C70" w:rsidRDefault="00845C70">
      <w:r>
        <w:separator/>
      </w:r>
    </w:p>
    <w:p w14:paraId="2EDBA4C4" w14:textId="77777777" w:rsidR="00845C70" w:rsidRDefault="00845C70"/>
  </w:endnote>
  <w:endnote w:type="continuationSeparator" w:id="0">
    <w:p w14:paraId="09F04CDD" w14:textId="77777777" w:rsidR="00845C70" w:rsidRDefault="00845C70">
      <w:r>
        <w:continuationSeparator/>
      </w:r>
    </w:p>
    <w:p w14:paraId="62C17D58" w14:textId="77777777" w:rsidR="00845C70" w:rsidRDefault="00845C70"/>
  </w:endnote>
  <w:endnote w:type="continuationNotice" w:id="1">
    <w:p w14:paraId="7A6FBB3C" w14:textId="77777777" w:rsidR="00845C70" w:rsidRDefault="00845C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3A4403" w:rsidRDefault="003A4403">
        <w:pPr>
          <w:pStyle w:val="Pta"/>
          <w:jc w:val="center"/>
        </w:pPr>
        <w:r>
          <w:fldChar w:fldCharType="begin"/>
        </w:r>
        <w:r>
          <w:instrText xml:space="preserve"> PAGE   \* MERGEFORMAT </w:instrText>
        </w:r>
        <w:r>
          <w:fldChar w:fldCharType="separate"/>
        </w:r>
        <w:r w:rsidR="0097766A">
          <w:rPr>
            <w:noProof/>
          </w:rPr>
          <w:t>1</w:t>
        </w:r>
        <w:r>
          <w:rPr>
            <w:noProof/>
          </w:rPr>
          <w:fldChar w:fldCharType="end"/>
        </w:r>
      </w:p>
    </w:sdtContent>
  </w:sdt>
  <w:p w14:paraId="01291C48" w14:textId="77777777" w:rsidR="003A4403" w:rsidRPr="003530AF" w:rsidRDefault="003A4403"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E03E10" w14:textId="77777777" w:rsidR="00845C70" w:rsidRDefault="00845C70">
      <w:r>
        <w:separator/>
      </w:r>
    </w:p>
    <w:p w14:paraId="7BB9DBE7" w14:textId="77777777" w:rsidR="00845C70" w:rsidRDefault="00845C70"/>
  </w:footnote>
  <w:footnote w:type="continuationSeparator" w:id="0">
    <w:p w14:paraId="4BE6E199" w14:textId="77777777" w:rsidR="00845C70" w:rsidRDefault="00845C70">
      <w:r>
        <w:continuationSeparator/>
      </w:r>
    </w:p>
    <w:p w14:paraId="73697BF4" w14:textId="77777777" w:rsidR="00845C70" w:rsidRDefault="00845C70"/>
  </w:footnote>
  <w:footnote w:type="continuationNotice" w:id="1">
    <w:p w14:paraId="15F0841B" w14:textId="77777777" w:rsidR="00845C70" w:rsidRDefault="00845C70"/>
  </w:footnote>
  <w:footnote w:id="2">
    <w:p w14:paraId="01291C49" w14:textId="77777777" w:rsidR="003A4403" w:rsidRDefault="003A4403"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3">
    <w:p w14:paraId="01291C4A" w14:textId="7042EBC7" w:rsidR="003A4403" w:rsidRPr="00396022" w:rsidRDefault="003A4403"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zástupca/-ovia, títo nevypracovávajú individuálny hodnotiaci hárok a hodnotenie vykonajú priamo v spoločnom hodnotiacom hárku.</w:t>
      </w:r>
    </w:p>
  </w:footnote>
  <w:footnote w:id="4">
    <w:p w14:paraId="01291C4B" w14:textId="77777777" w:rsidR="003A4403" w:rsidRPr="00396022" w:rsidRDefault="003A4403"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3A4403" w:rsidRPr="00396022" w:rsidRDefault="003A4403" w:rsidP="00933101">
      <w:pPr>
        <w:pStyle w:val="Textpoznmkypodiarou"/>
        <w:rPr>
          <w:lang w:val="sk-SK"/>
        </w:rPr>
      </w:pPr>
    </w:p>
  </w:footnote>
  <w:footnote w:id="5">
    <w:p w14:paraId="3CAEA9D5" w14:textId="38651606" w:rsidR="003A4403" w:rsidRDefault="003A4403"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3A4403" w:rsidRPr="00051EF8" w:rsidRDefault="003A4403">
      <w:pPr>
        <w:pStyle w:val="Textpoznmkypodiarou"/>
        <w:rPr>
          <w:lang w:val="sk-SK"/>
        </w:rPr>
      </w:pPr>
      <w:r>
        <w:rPr>
          <w:lang w:val="sk-SK"/>
        </w:rPr>
        <w:t xml:space="preserve"> </w:t>
      </w:r>
    </w:p>
  </w:footnote>
  <w:footnote w:id="6">
    <w:p w14:paraId="01291C4D" w14:textId="77777777" w:rsidR="003A4403" w:rsidRPr="00B70140" w:rsidRDefault="003A4403" w:rsidP="00DD7F94">
      <w:pPr>
        <w:pStyle w:val="Textpoznmkypodiarou"/>
        <w:jc w:val="both"/>
        <w:rPr>
          <w:lang w:val="sk-SK"/>
        </w:rPr>
      </w:pPr>
      <w:r w:rsidRPr="00B70140">
        <w:rPr>
          <w:rStyle w:val="Odkaznapoznmkupodiarou"/>
          <w:lang w:val="sk-SK"/>
        </w:rPr>
        <w:footnoteRef/>
      </w:r>
      <w:r w:rsidRPr="00B70140">
        <w:rPr>
          <w:lang w:val="sk-SK"/>
        </w:rPr>
        <w:t xml:space="preserve"> 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ante kondicionalít</w:t>
      </w:r>
    </w:p>
  </w:footnote>
  <w:footnote w:id="7">
    <w:p w14:paraId="01291C4E" w14:textId="77777777" w:rsidR="003A4403" w:rsidRPr="00F66DEE" w:rsidRDefault="003A4403"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3A4403" w:rsidRPr="0094663B" w:rsidRDefault="003A4403"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795E"/>
    <w:rsid w:val="00050496"/>
    <w:rsid w:val="00051EF8"/>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39A5"/>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4A5"/>
    <w:rsid w:val="002B1F7E"/>
    <w:rsid w:val="002B35ED"/>
    <w:rsid w:val="002B58B0"/>
    <w:rsid w:val="002C4137"/>
    <w:rsid w:val="002C5072"/>
    <w:rsid w:val="002C6C30"/>
    <w:rsid w:val="002D044F"/>
    <w:rsid w:val="002D391E"/>
    <w:rsid w:val="002D4219"/>
    <w:rsid w:val="002D4240"/>
    <w:rsid w:val="002D4CCC"/>
    <w:rsid w:val="002D5FCD"/>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6B22"/>
    <w:rsid w:val="003305C8"/>
    <w:rsid w:val="003311F4"/>
    <w:rsid w:val="003319E5"/>
    <w:rsid w:val="0033478B"/>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247"/>
    <w:rsid w:val="00430601"/>
    <w:rsid w:val="004307DD"/>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67D7"/>
    <w:rsid w:val="0047738E"/>
    <w:rsid w:val="00480FF7"/>
    <w:rsid w:val="00482B19"/>
    <w:rsid w:val="00483288"/>
    <w:rsid w:val="004839DC"/>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1F04"/>
    <w:rsid w:val="004B3A70"/>
    <w:rsid w:val="004B3E25"/>
    <w:rsid w:val="004B4FFD"/>
    <w:rsid w:val="004B53E6"/>
    <w:rsid w:val="004B67CC"/>
    <w:rsid w:val="004B69C3"/>
    <w:rsid w:val="004B69CB"/>
    <w:rsid w:val="004B6E82"/>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3C58"/>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57A7"/>
    <w:rsid w:val="00636761"/>
    <w:rsid w:val="00640B3D"/>
    <w:rsid w:val="0064196F"/>
    <w:rsid w:val="00641B9F"/>
    <w:rsid w:val="0064206B"/>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A13B3"/>
    <w:rsid w:val="007A1AEE"/>
    <w:rsid w:val="007A44D3"/>
    <w:rsid w:val="007A7343"/>
    <w:rsid w:val="007B3512"/>
    <w:rsid w:val="007B3AFF"/>
    <w:rsid w:val="007B68E0"/>
    <w:rsid w:val="007C28DC"/>
    <w:rsid w:val="007C3DB3"/>
    <w:rsid w:val="007C429D"/>
    <w:rsid w:val="007C5BB5"/>
    <w:rsid w:val="007C6043"/>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5C70"/>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65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45D3"/>
    <w:rsid w:val="009A5D0D"/>
    <w:rsid w:val="009A70F9"/>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033D"/>
    <w:rsid w:val="00AD3040"/>
    <w:rsid w:val="00AD40CA"/>
    <w:rsid w:val="00AD41A1"/>
    <w:rsid w:val="00AD4632"/>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5B74"/>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54EC"/>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5924"/>
    <w:rsid w:val="00C76B03"/>
    <w:rsid w:val="00C77581"/>
    <w:rsid w:val="00C8122C"/>
    <w:rsid w:val="00C82581"/>
    <w:rsid w:val="00C82F18"/>
    <w:rsid w:val="00C843E1"/>
    <w:rsid w:val="00C869BC"/>
    <w:rsid w:val="00C8705A"/>
    <w:rsid w:val="00C90033"/>
    <w:rsid w:val="00C95D66"/>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056D9"/>
    <w:rsid w:val="00D10A3F"/>
    <w:rsid w:val="00D1104D"/>
    <w:rsid w:val="00D11A7E"/>
    <w:rsid w:val="00D14D78"/>
    <w:rsid w:val="00D179A7"/>
    <w:rsid w:val="00D20832"/>
    <w:rsid w:val="00D20F0D"/>
    <w:rsid w:val="00D27BA3"/>
    <w:rsid w:val="00D31186"/>
    <w:rsid w:val="00D31270"/>
    <w:rsid w:val="00D31914"/>
    <w:rsid w:val="00D34113"/>
    <w:rsid w:val="00D355F6"/>
    <w:rsid w:val="00D36070"/>
    <w:rsid w:val="00D36E14"/>
    <w:rsid w:val="00D44062"/>
    <w:rsid w:val="00D46D27"/>
    <w:rsid w:val="00D51EE8"/>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2F3B"/>
    <w:rsid w:val="00E833B2"/>
    <w:rsid w:val="00E85656"/>
    <w:rsid w:val="00E85DA0"/>
    <w:rsid w:val="00E86819"/>
    <w:rsid w:val="00E86D63"/>
    <w:rsid w:val="00E87552"/>
    <w:rsid w:val="00E876AD"/>
    <w:rsid w:val="00E91EAE"/>
    <w:rsid w:val="00E9484C"/>
    <w:rsid w:val="00E9653B"/>
    <w:rsid w:val="00E96739"/>
    <w:rsid w:val="00E97112"/>
    <w:rsid w:val="00E97EDD"/>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A0E96"/>
    <w:rsid w:val="00FA12F3"/>
    <w:rsid w:val="00FA130C"/>
    <w:rsid w:val="00FA35F8"/>
    <w:rsid w:val="00FA5BF6"/>
    <w:rsid w:val="00FA5F48"/>
    <w:rsid w:val="00FA7D2C"/>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3.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9E24AA-B1BC-4D7D-A664-C5ED9BE04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10455</Words>
  <Characters>59599</Characters>
  <Application>Microsoft Office Word</Application>
  <DocSecurity>0</DocSecurity>
  <Lines>496</Lines>
  <Paragraphs>139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2018-02-06T09:42:00Z</dcterms:created>
  <dcterms:modified xsi:type="dcterms:W3CDTF">2018-02-06T09:42:00Z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