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BB22C0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0E7F2A7D" w:rsidR="00624D01" w:rsidRPr="001C4A15" w:rsidRDefault="00624D01" w:rsidP="00482093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6B4BD5">
              <w:t>2</w:t>
            </w:r>
          </w:p>
        </w:tc>
      </w:tr>
      <w:tr w:rsidR="00F71FC4" w:rsidRPr="00DB1AD9" w14:paraId="3AAE71E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>
              <w:rPr>
                <w:sz w:val="22"/>
                <w:szCs w:val="22"/>
              </w:rPr>
              <w:t>4.1, 4.2</w:t>
            </w:r>
          </w:p>
        </w:tc>
      </w:tr>
      <w:tr w:rsidR="00F71FC4" w:rsidRPr="00DB1AD9" w14:paraId="3AAE71E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BB22C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884707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BB22C0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</w:tbl>
    <w:tbl>
      <w:tblPr>
        <w:tblStyle w:val="Mriekatabuky11"/>
        <w:tblW w:w="9356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3D78D7" w:rsidRPr="00DB1AD9" w14:paraId="1CA0134E" w14:textId="77777777" w:rsidTr="003D78D7">
        <w:tc>
          <w:tcPr>
            <w:tcW w:w="4536" w:type="dxa"/>
            <w:shd w:val="clear" w:color="auto" w:fill="D9D9D9" w:themeFill="background1" w:themeFillShade="D9"/>
          </w:tcPr>
          <w:p w14:paraId="75F92F8A" w14:textId="77777777" w:rsidR="003D78D7" w:rsidRPr="00DB1AD9" w:rsidRDefault="003D78D7" w:rsidP="00DE05EA">
            <w:r w:rsidRPr="00DB1AD9">
              <w:t>Program</w:t>
            </w:r>
            <w:r w:rsidRPr="00DB1AD9">
              <w:rPr>
                <w:vertAlign w:val="superscript"/>
              </w:rPr>
              <w:footnoteReference w:id="3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1676921405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820" w:type="dxa"/>
                <w:shd w:val="clear" w:color="auto" w:fill="D9D9D9" w:themeFill="background1" w:themeFillShade="D9"/>
              </w:tcPr>
              <w:p w14:paraId="73A1AE13" w14:textId="77777777" w:rsidR="003D78D7" w:rsidRPr="00624D01" w:rsidRDefault="003D78D7" w:rsidP="00DE05EA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3D78D7" w:rsidRPr="00DB1AD9" w14:paraId="64FB3F21" w14:textId="77777777" w:rsidTr="003D78D7">
        <w:tc>
          <w:tcPr>
            <w:tcW w:w="9356" w:type="dxa"/>
            <w:gridSpan w:val="2"/>
            <w:shd w:val="clear" w:color="auto" w:fill="FFFFFF" w:themeFill="background1"/>
          </w:tcPr>
          <w:p w14:paraId="44114950" w14:textId="77777777" w:rsidR="003D78D7" w:rsidRDefault="003D78D7" w:rsidP="00DE05EA">
            <w:pPr>
              <w:jc w:val="both"/>
            </w:pPr>
            <w:r>
              <w:t>Prioritná os: 1</w:t>
            </w:r>
          </w:p>
          <w:p w14:paraId="663661D2" w14:textId="77777777" w:rsidR="003D78D7" w:rsidRDefault="003D78D7" w:rsidP="00DE05EA">
            <w:pPr>
              <w:jc w:val="both"/>
            </w:pPr>
            <w:r>
              <w:t>Tematický cieľ: 11</w:t>
            </w:r>
          </w:p>
          <w:p w14:paraId="4F53945F" w14:textId="77777777" w:rsidR="003D78D7" w:rsidRDefault="003D78D7" w:rsidP="00DE05EA">
            <w:pPr>
              <w:jc w:val="both"/>
            </w:pPr>
            <w:r>
              <w:t>Investičná priorita: 11</w:t>
            </w:r>
          </w:p>
          <w:p w14:paraId="546FED9B" w14:textId="77777777" w:rsidR="003D78D7" w:rsidRPr="001C4A15" w:rsidRDefault="003D78D7" w:rsidP="00DE05EA">
            <w:pPr>
              <w:jc w:val="both"/>
            </w:pPr>
            <w:r>
              <w:t>Špecifický cieľ: 1.2</w:t>
            </w:r>
          </w:p>
        </w:tc>
      </w:tr>
      <w:tr w:rsidR="003D78D7" w:rsidRPr="00DB1AD9" w14:paraId="0167A8CE" w14:textId="77777777" w:rsidTr="003D78D7">
        <w:tc>
          <w:tcPr>
            <w:tcW w:w="9356" w:type="dxa"/>
            <w:gridSpan w:val="2"/>
            <w:shd w:val="clear" w:color="auto" w:fill="D9D9D9" w:themeFill="background1" w:themeFillShade="D9"/>
          </w:tcPr>
          <w:p w14:paraId="15B1BD71" w14:textId="77777777" w:rsidR="003D78D7" w:rsidRDefault="003D78D7" w:rsidP="00DE05EA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5EBD5378" w14:textId="77777777" w:rsidR="003D78D7" w:rsidRDefault="003D78D7" w:rsidP="00DE05EA">
            <w:pPr>
              <w:jc w:val="both"/>
            </w:pPr>
          </w:p>
          <w:p w14:paraId="2037FE02" w14:textId="77777777" w:rsidR="003D78D7" w:rsidRDefault="003D78D7" w:rsidP="00DE05EA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1634408986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14:paraId="1F185D48" w14:textId="77777777" w:rsidR="003D78D7" w:rsidRDefault="003D78D7" w:rsidP="00DE05EA">
            <w:pPr>
              <w:jc w:val="both"/>
            </w:pPr>
            <w:r>
              <w:t>Prioritná os: 7</w:t>
            </w:r>
          </w:p>
          <w:p w14:paraId="04BF62BC" w14:textId="77777777" w:rsidR="003D78D7" w:rsidRDefault="003D78D7" w:rsidP="00DE05EA">
            <w:pPr>
              <w:jc w:val="both"/>
            </w:pPr>
            <w:r>
              <w:t>Tematický cieľ: 2</w:t>
            </w:r>
          </w:p>
          <w:p w14:paraId="3D3B7607" w14:textId="77777777" w:rsidR="003D78D7" w:rsidRDefault="003D78D7" w:rsidP="00DE05EA">
            <w:pPr>
              <w:jc w:val="both"/>
            </w:pPr>
            <w:r>
              <w:t>Investičná priorita: 2c</w:t>
            </w:r>
          </w:p>
          <w:p w14:paraId="2D2BB912" w14:textId="77777777" w:rsidR="003D78D7" w:rsidRPr="00DB1AD9" w:rsidRDefault="003D78D7" w:rsidP="00DE05EA">
            <w:pPr>
              <w:jc w:val="both"/>
            </w:pPr>
            <w:r>
              <w:t>Špecifický cieľ: 7.7</w:t>
            </w:r>
          </w:p>
        </w:tc>
      </w:tr>
      <w:tr w:rsidR="003D78D7" w:rsidRPr="00DB1AD9" w14:paraId="2174137D" w14:textId="77777777" w:rsidTr="003D78D7">
        <w:tc>
          <w:tcPr>
            <w:tcW w:w="4536" w:type="dxa"/>
            <w:shd w:val="clear" w:color="auto" w:fill="D9D9D9" w:themeFill="background1" w:themeFillShade="D9"/>
          </w:tcPr>
          <w:p w14:paraId="00C3A255" w14:textId="77777777" w:rsidR="003D78D7" w:rsidRPr="00DB1AD9" w:rsidRDefault="003D78D7" w:rsidP="00DE05EA">
            <w:pPr>
              <w:jc w:val="both"/>
            </w:pPr>
            <w:r w:rsidRPr="00DB1AD9">
              <w:t>Pre</w:t>
            </w:r>
            <w:r>
              <w:t>dpokladaný mesiac zverejnenia vy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1068113699"/>
            <w:date w:fullDate="2017-09-17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shd w:val="clear" w:color="auto" w:fill="D9D9D9" w:themeFill="background1" w:themeFillShade="D9"/>
              </w:tcPr>
              <w:p w14:paraId="6C3752E5" w14:textId="36AD8F58" w:rsidR="003D78D7" w:rsidRPr="00DB1AD9" w:rsidRDefault="006E24A3" w:rsidP="006E24A3">
                <w:r>
                  <w:t>september 17</w:t>
                </w:r>
              </w:p>
            </w:tc>
          </w:sdtContent>
        </w:sdt>
      </w:tr>
      <w:tr w:rsidR="003D78D7" w:rsidRPr="00DB1AD9" w14:paraId="4E1D4195" w14:textId="77777777" w:rsidTr="003D78D7">
        <w:tc>
          <w:tcPr>
            <w:tcW w:w="4536" w:type="dxa"/>
            <w:shd w:val="clear" w:color="auto" w:fill="D9D9D9" w:themeFill="background1" w:themeFillShade="D9"/>
          </w:tcPr>
          <w:p w14:paraId="7D1C6A1D" w14:textId="77777777" w:rsidR="003D78D7" w:rsidRPr="00DB1AD9" w:rsidRDefault="003D78D7" w:rsidP="00DE05EA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F52C271" w14:textId="77777777" w:rsidR="003D78D7" w:rsidRDefault="00884707" w:rsidP="00DE05EA">
            <w:pPr>
              <w:rPr>
                <w:rStyle w:val="Hypertextovprepojenie"/>
              </w:rPr>
            </w:pPr>
            <w:hyperlink r:id="rId12" w:history="1">
              <w:r w:rsidR="003D78D7" w:rsidRPr="00E56549">
                <w:rPr>
                  <w:rStyle w:val="Hypertextovprepojenie"/>
                </w:rPr>
                <w:t>http://www.informatizacia.sk/vyzvania/22108s</w:t>
              </w:r>
            </w:hyperlink>
          </w:p>
          <w:p w14:paraId="64FA48E2" w14:textId="77777777" w:rsidR="00513682" w:rsidRDefault="00513682" w:rsidP="00DE05EA">
            <w:pPr>
              <w:rPr>
                <w:rStyle w:val="Hypertextovprepojenie"/>
              </w:rPr>
            </w:pPr>
          </w:p>
          <w:p w14:paraId="148CC66F" w14:textId="7D18DDED" w:rsidR="00513682" w:rsidRDefault="00513682" w:rsidP="00513682">
            <w:pPr>
              <w:rPr>
                <w:rStyle w:val="Hypertextovprepojenie"/>
              </w:rPr>
            </w:pPr>
          </w:p>
          <w:p w14:paraId="77A552DC" w14:textId="77777777" w:rsidR="00513682" w:rsidRPr="000307D5" w:rsidRDefault="00513682" w:rsidP="00513682">
            <w:pPr>
              <w:pStyle w:val="Default"/>
              <w:rPr>
                <w:rFonts w:ascii="Times New Roman" w:hAnsi="Times New Roman" w:cs="Times New Roman"/>
              </w:rPr>
            </w:pPr>
            <w:r w:rsidRPr="000307D5">
              <w:rPr>
                <w:rStyle w:val="Hypertextovprepojenie"/>
                <w:rFonts w:ascii="Times New Roman" w:hAnsi="Times New Roman" w:cs="Times New Roman"/>
                <w:color w:val="000000" w:themeColor="text1"/>
                <w:u w:val="none"/>
              </w:rPr>
              <w:t xml:space="preserve">Dňa 14.7.2016 bol schválený spoločný reformný zámer s názvom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0"/>
            </w:tblGrid>
            <w:tr w:rsidR="00513682" w:rsidRPr="000307D5" w14:paraId="75E145ED" w14:textId="77777777" w:rsidTr="004157FB">
              <w:trPr>
                <w:trHeight w:val="932"/>
              </w:trPr>
              <w:tc>
                <w:tcPr>
                  <w:tcW w:w="4720" w:type="dxa"/>
                </w:tcPr>
                <w:p w14:paraId="17E44F58" w14:textId="50D8C57F" w:rsidR="00513682" w:rsidRPr="00513682" w:rsidRDefault="00513682" w:rsidP="0051368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25"/>
                  </w:tblGrid>
                  <w:tr w:rsidR="00513682" w:rsidRPr="00513682" w14:paraId="2BD14B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64"/>
                    </w:trPr>
                    <w:tc>
                      <w:tcPr>
                        <w:tcW w:w="4725" w:type="dxa"/>
                      </w:tcPr>
                      <w:p w14:paraId="2CC4ADE6" w14:textId="6A713AB6" w:rsidR="00513682" w:rsidRPr="00513682" w:rsidRDefault="00513682" w:rsidP="0051368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513682">
                          <w:rPr>
                            <w:rFonts w:ascii="Verdana" w:eastAsiaTheme="minorHAnsi" w:hAnsi="Verdana" w:cs="Verdana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Verdana" w:eastAsiaTheme="minorHAnsi" w:hAnsi="Verdana" w:cs="Verdana"/>
                            <w:color w:val="000000"/>
                            <w:lang w:eastAsia="en-US"/>
                          </w:rPr>
                          <w:t>„</w:t>
                        </w:r>
                        <w:r w:rsidRPr="0051368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Zefektívnenie a modernizácia </w:t>
                        </w:r>
                      </w:p>
                      <w:p w14:paraId="10501C9C" w14:textId="77777777" w:rsidR="00513682" w:rsidRPr="00513682" w:rsidRDefault="00513682" w:rsidP="0051368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51368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riadenia ľudských zdrojov </w:t>
                        </w:r>
                      </w:p>
                      <w:p w14:paraId="6C664E28" w14:textId="68CAEE1C" w:rsidR="00513682" w:rsidRPr="00513682" w:rsidRDefault="00513682" w:rsidP="00513682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eastAsiaTheme="minorHAnsi" w:hAnsi="Verdana" w:cs="Verdana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  <w:r w:rsidRPr="0051368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v štátnej správe</w:t>
                        </w:r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“</w:t>
                        </w:r>
                        <w:r w:rsidRPr="00513682">
                          <w:rPr>
                            <w:rFonts w:ascii="Verdana" w:eastAsiaTheme="minorHAnsi" w:hAnsi="Verdana" w:cs="Verdana"/>
                            <w:color w:val="000000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14:paraId="1C68A727" w14:textId="284742C2" w:rsidR="00513682" w:rsidRPr="000307D5" w:rsidRDefault="00513682" w:rsidP="0051368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E448F3B" w14:textId="53026A06" w:rsidR="00513682" w:rsidRDefault="00513682" w:rsidP="00513682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 w:rsidRPr="00050D94">
              <w:rPr>
                <w:rStyle w:val="Hypertextovprepojenie"/>
                <w:color w:val="000000" w:themeColor="text1"/>
                <w:u w:val="none"/>
              </w:rPr>
              <w:t xml:space="preserve">NP OP II </w:t>
            </w:r>
            <w:r>
              <w:rPr>
                <w:rStyle w:val="Hypertextovprepojenie"/>
                <w:color w:val="000000" w:themeColor="text1"/>
                <w:u w:val="none"/>
              </w:rPr>
              <w:t xml:space="preserve">– </w:t>
            </w:r>
            <w:r>
              <w:rPr>
                <w:rStyle w:val="Hypertextovprepojenie"/>
                <w:color w:val="000000" w:themeColor="text1"/>
                <w:u w:val="none"/>
              </w:rPr>
              <w:t>Centrálny informačný systém štátnej služby</w:t>
            </w:r>
          </w:p>
          <w:p w14:paraId="1EAA3CDA" w14:textId="77777777" w:rsidR="00513682" w:rsidRDefault="00513682" w:rsidP="00513682">
            <w:pPr>
              <w:pStyle w:val="Odsekzoznamu"/>
              <w:rPr>
                <w:rStyle w:val="Hypertextovprepojenie"/>
                <w:color w:val="000000" w:themeColor="text1"/>
                <w:u w:val="none"/>
              </w:rPr>
            </w:pPr>
          </w:p>
          <w:p w14:paraId="0737A746" w14:textId="77777777" w:rsidR="00513682" w:rsidRDefault="00513682" w:rsidP="00513682">
            <w:r>
              <w:rPr>
                <w:rStyle w:val="Hypertextovprepojenie"/>
                <w:color w:val="000000" w:themeColor="text1"/>
                <w:u w:val="none"/>
              </w:rPr>
              <w:t xml:space="preserve">Reformný zámer je zverejnený na stránke MV SR </w:t>
            </w:r>
            <w:hyperlink r:id="rId13" w:history="1">
              <w:r w:rsidRPr="00B543C5">
                <w:rPr>
                  <w:rStyle w:val="Hypertextovprepojenie"/>
                </w:rPr>
                <w:t>http://www.min</w:t>
              </w:r>
              <w:r w:rsidRPr="00B543C5">
                <w:rPr>
                  <w:rStyle w:val="Hypertextovprepojenie"/>
                </w:rPr>
                <w:t>v</w:t>
              </w:r>
              <w:r w:rsidRPr="00B543C5">
                <w:rPr>
                  <w:rStyle w:val="Hypertextovprepojenie"/>
                </w:rPr>
                <w:t>.sk/?schvalene-rz</w:t>
              </w:r>
            </w:hyperlink>
          </w:p>
          <w:p w14:paraId="461FD438" w14:textId="02F142DF" w:rsidR="00513682" w:rsidRPr="00DB1AD9" w:rsidRDefault="00513682" w:rsidP="00DE05EA"/>
        </w:tc>
      </w:tr>
    </w:tbl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624D01" w:rsidRPr="00DB1AD9" w14:paraId="3AAE722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lastRenderedPageBreak/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49229C76" w14:textId="77777777" w:rsidR="00BB22C0" w:rsidRDefault="00BB22C0" w:rsidP="00BB22C0">
      <w:pPr>
        <w:spacing w:before="240"/>
        <w:jc w:val="both"/>
      </w:pPr>
      <w:r>
        <w:t xml:space="preserve">Táto príloha k Vyzvaniu identifikovala všetky synergie a komplementarity, ktoré boli odsúhlasené Pracovnou komisiou pre zabezpečenie synergických účinkov medzi EŠIF a ostatnými nástrojmi podpory Únie a SR. </w:t>
      </w: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  <w:bookmarkStart w:id="0" w:name="_GoBack"/>
      <w:bookmarkEnd w:id="0"/>
    </w:p>
    <w:sectPr w:rsidR="00DB1AD9" w:rsidRPr="00624D01" w:rsidSect="00624D01">
      <w:headerReference w:type="default" r:id="rId14"/>
      <w:footerReference w:type="default" r:id="rId15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C3D47" w14:textId="77777777" w:rsidR="00A25746" w:rsidRDefault="00A25746" w:rsidP="00B948E0">
      <w:r>
        <w:separator/>
      </w:r>
    </w:p>
  </w:endnote>
  <w:endnote w:type="continuationSeparator" w:id="0">
    <w:p w14:paraId="19E9D7B6" w14:textId="77777777" w:rsidR="00A25746" w:rsidRDefault="00A25746" w:rsidP="00B948E0">
      <w:r>
        <w:continuationSeparator/>
      </w:r>
    </w:p>
  </w:endnote>
  <w:endnote w:type="continuationNotice" w:id="1">
    <w:p w14:paraId="50A87236" w14:textId="77777777" w:rsidR="00A25746" w:rsidRDefault="00A25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884707">
          <w:rPr>
            <w:noProof/>
          </w:rPr>
          <w:t>2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A7568" w14:textId="77777777" w:rsidR="00A25746" w:rsidRDefault="00A25746" w:rsidP="00B948E0">
      <w:r>
        <w:separator/>
      </w:r>
    </w:p>
  </w:footnote>
  <w:footnote w:type="continuationSeparator" w:id="0">
    <w:p w14:paraId="7E78B590" w14:textId="77777777" w:rsidR="00A25746" w:rsidRDefault="00A25746" w:rsidP="00B948E0">
      <w:r>
        <w:continuationSeparator/>
      </w:r>
    </w:p>
  </w:footnote>
  <w:footnote w:type="continuationNotice" w:id="1">
    <w:p w14:paraId="0F150F02" w14:textId="77777777" w:rsidR="00A25746" w:rsidRDefault="00A25746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  <w:footnote w:id="3">
    <w:p w14:paraId="5369D7C8" w14:textId="77777777" w:rsidR="003D78D7" w:rsidRPr="00E6712D" w:rsidRDefault="003D78D7" w:rsidP="003D78D7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A28DC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47B53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0DE9"/>
    <w:rsid w:val="00393784"/>
    <w:rsid w:val="003A42B8"/>
    <w:rsid w:val="003A67E1"/>
    <w:rsid w:val="003B0DFE"/>
    <w:rsid w:val="003B2F8A"/>
    <w:rsid w:val="003B7B62"/>
    <w:rsid w:val="003C2544"/>
    <w:rsid w:val="003D568C"/>
    <w:rsid w:val="003D78D7"/>
    <w:rsid w:val="00416E2D"/>
    <w:rsid w:val="00432DF1"/>
    <w:rsid w:val="00442406"/>
    <w:rsid w:val="004445A9"/>
    <w:rsid w:val="00460F75"/>
    <w:rsid w:val="00462848"/>
    <w:rsid w:val="00477B8E"/>
    <w:rsid w:val="00482093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13682"/>
    <w:rsid w:val="00520A9B"/>
    <w:rsid w:val="005279B8"/>
    <w:rsid w:val="00541FF5"/>
    <w:rsid w:val="00545B4C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B4BD5"/>
    <w:rsid w:val="006C3691"/>
    <w:rsid w:val="006C6044"/>
    <w:rsid w:val="006C6A25"/>
    <w:rsid w:val="006D082A"/>
    <w:rsid w:val="006D3B82"/>
    <w:rsid w:val="006D57C3"/>
    <w:rsid w:val="006E24A3"/>
    <w:rsid w:val="006F15B4"/>
    <w:rsid w:val="006F1E41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5E4B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2EB8"/>
    <w:rsid w:val="00884707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35C6E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25746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22C0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  <w:rsid w:val="00FE3440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table" w:customStyle="1" w:styleId="Mriekatabuky11">
    <w:name w:val="Mriežka tabuľky11"/>
    <w:basedOn w:val="Normlnatabuka"/>
    <w:next w:val="Mriekatabuky"/>
    <w:uiPriority w:val="59"/>
    <w:rsid w:val="003D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6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3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v.sk/?schvalene-r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formatizacia.sk/vyzvania/22108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51E4C-13E8-47EC-8C5A-20DB892B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11</cp:revision>
  <cp:lastPrinted>2014-06-27T08:05:00Z</cp:lastPrinted>
  <dcterms:created xsi:type="dcterms:W3CDTF">2017-05-03T10:26:00Z</dcterms:created>
  <dcterms:modified xsi:type="dcterms:W3CDTF">2017-05-04T12:55:00Z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