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237B7" w14:textId="77777777" w:rsidR="00467055" w:rsidRPr="00467055" w:rsidRDefault="00467055" w:rsidP="006D7797">
      <w:pPr>
        <w:pStyle w:val="Default"/>
        <w:jc w:val="both"/>
        <w:rPr>
          <w:b/>
          <w:bCs/>
        </w:rPr>
      </w:pPr>
      <w:bookmarkStart w:id="0" w:name="_GoBack"/>
      <w:bookmarkEnd w:id="0"/>
      <w:r w:rsidRPr="00467055">
        <w:rPr>
          <w:b/>
          <w:bCs/>
        </w:rPr>
        <w:t>Predbežná informácia pre žiadateľov o nenávratný finančný príspevok/o príspevok v zmysle čl. 13 Nariadenia Komisie (ES, Euratom) č. 1302/2008 o centrálnej databáze vylúčených subjektov</w:t>
      </w:r>
    </w:p>
    <w:p w14:paraId="63C237B8" w14:textId="77777777" w:rsidR="00467055" w:rsidRPr="00467055" w:rsidRDefault="00467055" w:rsidP="006D7797">
      <w:pPr>
        <w:pStyle w:val="Default"/>
        <w:jc w:val="both"/>
        <w:rPr>
          <w:b/>
          <w:bCs/>
        </w:rPr>
      </w:pPr>
    </w:p>
    <w:p w14:paraId="63C237B9" w14:textId="77777777" w:rsidR="00467055" w:rsidRPr="00467055" w:rsidRDefault="00467055" w:rsidP="006D7797">
      <w:pPr>
        <w:pStyle w:val="Default"/>
        <w:jc w:val="both"/>
      </w:pPr>
      <w:r w:rsidRPr="00467055">
        <w:rPr>
          <w:b/>
          <w:bCs/>
        </w:rPr>
        <w:t xml:space="preserve"> </w:t>
      </w:r>
    </w:p>
    <w:p w14:paraId="63C237BA" w14:textId="77777777" w:rsidR="00467055" w:rsidRPr="00467055" w:rsidRDefault="00467055" w:rsidP="006D7797">
      <w:pPr>
        <w:pStyle w:val="Default"/>
        <w:jc w:val="both"/>
      </w:pPr>
      <w:r w:rsidRPr="00467055">
        <w:t xml:space="preserve">Komisia používa interný informačný nástroj /systém včasného varovania - Early Warning System (EWS)/, aby s cieľom chrániť finančné záujmy EÚ, označila riziká zistené v súvislosti s prijímateľmi v rámci centralizovane riadených zmlúv a grantov. </w:t>
      </w:r>
    </w:p>
    <w:p w14:paraId="63C237BB" w14:textId="77777777" w:rsidR="00467055" w:rsidRPr="00467055" w:rsidRDefault="00467055" w:rsidP="006D7797">
      <w:pPr>
        <w:pStyle w:val="Default"/>
        <w:jc w:val="both"/>
      </w:pPr>
    </w:p>
    <w:p w14:paraId="63C237BC" w14:textId="77777777" w:rsidR="00467055" w:rsidRPr="00467055" w:rsidRDefault="00467055" w:rsidP="006D7797">
      <w:pPr>
        <w:pStyle w:val="Default"/>
        <w:jc w:val="both"/>
      </w:pPr>
      <w:r w:rsidRPr="00467055">
        <w:t xml:space="preserve">Okrem toho Európska komisia spravuje centrálnu databázu vylúčených subjektov /Central Exclusion Database (CED)/, v ktorej eviduje všetky subjekty, ktoré môžu byť vyňaté z účasti na akejkoľvek pomoci poskytovanej z rozpočtu EÚ ako aj z procesov verejného obstarávania, prostredníctvom ktorého sú prideľované finančné prostriedky EÚ v súlade s Nariadením o rozpočtových pravidlách, ktoré sa vzťahuje na všeobecný rozpočet Európskej únie. CED je prístupná všetkým inštitúciám, ktoré sú oprávnené prideľovať finančné prostriedky EÚ. </w:t>
      </w:r>
    </w:p>
    <w:p w14:paraId="63C237BD" w14:textId="77777777" w:rsidR="00467055" w:rsidRPr="00467055" w:rsidRDefault="00467055" w:rsidP="006D7797">
      <w:pPr>
        <w:pStyle w:val="Default"/>
        <w:jc w:val="both"/>
      </w:pPr>
    </w:p>
    <w:p w14:paraId="63C237BE" w14:textId="77777777" w:rsidR="00467055" w:rsidRDefault="00467055" w:rsidP="006D7797">
      <w:pPr>
        <w:pStyle w:val="Default"/>
        <w:jc w:val="both"/>
      </w:pPr>
      <w:r w:rsidRPr="00467055">
        <w:t xml:space="preserve">Žiadatelia o NFP, sú týmto informovaní, že v prípade, ak sa ocitnú v niektorej so situácii uvedených v: </w:t>
      </w:r>
    </w:p>
    <w:p w14:paraId="63C237BF" w14:textId="77777777" w:rsidR="00467055" w:rsidRPr="00467055" w:rsidRDefault="00467055" w:rsidP="006D7797">
      <w:pPr>
        <w:pStyle w:val="Default"/>
        <w:jc w:val="both"/>
      </w:pPr>
    </w:p>
    <w:p w14:paraId="63C237C0" w14:textId="77777777" w:rsidR="00467055" w:rsidRPr="00467055" w:rsidRDefault="00467055" w:rsidP="006D7797">
      <w:pPr>
        <w:pStyle w:val="Default"/>
        <w:numPr>
          <w:ilvl w:val="0"/>
          <w:numId w:val="2"/>
        </w:numPr>
        <w:jc w:val="both"/>
      </w:pPr>
      <w:r w:rsidRPr="00467055">
        <w:t xml:space="preserve">Rozhodnutí Komisie zo 16. decembra 2008 o systéme včasného varovania (EWS) na použitie povoľujúcimi úradníkmi Komisie a výkonnými agentúrami (Ú.v. EÚ, L 344, 20.12.2008, s. 125), alebo </w:t>
      </w:r>
    </w:p>
    <w:p w14:paraId="63C237C1" w14:textId="77777777" w:rsidR="00467055" w:rsidRDefault="00467055" w:rsidP="006D7797">
      <w:pPr>
        <w:pStyle w:val="Default"/>
        <w:numPr>
          <w:ilvl w:val="0"/>
          <w:numId w:val="2"/>
        </w:numPr>
        <w:jc w:val="both"/>
      </w:pPr>
      <w:r w:rsidRPr="00467055">
        <w:t xml:space="preserve">Nariadení Komisie z 17.12.2008 o centrálnej databáze vylúčených subjektov – CED (Ú. v. EÚ OJ L 344, 20.12.2008, s. 12), </w:t>
      </w:r>
    </w:p>
    <w:p w14:paraId="63C237C2" w14:textId="77777777" w:rsidR="005E3E2B" w:rsidRPr="00467055" w:rsidRDefault="005E3E2B" w:rsidP="006D7797">
      <w:pPr>
        <w:pStyle w:val="Default"/>
        <w:ind w:left="720"/>
        <w:jc w:val="both"/>
      </w:pPr>
    </w:p>
    <w:p w14:paraId="63C237C3" w14:textId="77777777" w:rsidR="00467055" w:rsidRDefault="00467055" w:rsidP="006D7797">
      <w:pPr>
        <w:pStyle w:val="Default"/>
        <w:jc w:val="both"/>
      </w:pPr>
      <w:r w:rsidRPr="00467055">
        <w:t>ich údaje</w:t>
      </w:r>
      <w:r w:rsidR="005E3E2B">
        <w:rPr>
          <w:rStyle w:val="Odkaznapoznmkupodiarou"/>
        </w:rPr>
        <w:footnoteReference w:id="1"/>
      </w:r>
      <w:r w:rsidRPr="00467055">
        <w:t xml:space="preserve"> môžu byť registrované v EWS a CED účtovníkom Európskej komisie, a môžu byť oznámené osobám a inštitúciám, ktoré sú uvedené vo vyššie uvedenom rozhodnutí a nariadení, v súvislosti s ďalším poskytnutím alebo realizáciou pomoci alebo podpory z fondov EÚ, poskytnutím príspevku z fondov EÚ a priamej pomoci z rozpočtu EÚ. </w:t>
      </w:r>
    </w:p>
    <w:p w14:paraId="63C237C4" w14:textId="77777777" w:rsidR="005E3E2B" w:rsidRPr="00467055" w:rsidRDefault="005E3E2B" w:rsidP="006D7797">
      <w:pPr>
        <w:pStyle w:val="Default"/>
        <w:jc w:val="both"/>
      </w:pPr>
    </w:p>
    <w:p w14:paraId="63C237C5" w14:textId="77777777" w:rsidR="00467055" w:rsidRPr="005E3E2B" w:rsidRDefault="005E3E2B" w:rsidP="006D779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E3E2B">
        <w:rPr>
          <w:rFonts w:ascii="Times New Roman" w:hAnsi="Times New Roman" w:cs="Times New Roman"/>
          <w:color w:val="000000"/>
          <w:sz w:val="24"/>
          <w:szCs w:val="24"/>
        </w:rPr>
        <w:t>EWS a CED sú spravované účtovníkom Európskej komisie, u ktorého si právnické osoby a fyzické osoby môžu uplatniť svoje práva vyplývajúce z Nariadenia Európskeho parlamentu a Rady (ES) č. 45/2001 z 18. decembra 2000 o ochrane jednotlivcov so zreteľom na spracovanie osobných údajov inštitúciami a orgánmi spoločenstva a o voľnom pohybe takýchto údajov (Ú. v. ES L 8, 12.1.2001).</w:t>
      </w:r>
    </w:p>
    <w:sectPr w:rsidR="00467055" w:rsidRPr="005E3E2B" w:rsidSect="00B76B17">
      <w:headerReference w:type="default" r:id="rId11"/>
      <w:pgSz w:w="11906" w:h="16838"/>
      <w:pgMar w:top="7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8A7C0" w14:textId="77777777" w:rsidR="00AB5A41" w:rsidRDefault="00AB5A41" w:rsidP="00467055">
      <w:pPr>
        <w:spacing w:after="0" w:line="240" w:lineRule="auto"/>
      </w:pPr>
      <w:r>
        <w:separator/>
      </w:r>
    </w:p>
  </w:endnote>
  <w:endnote w:type="continuationSeparator" w:id="0">
    <w:p w14:paraId="6F265CFD" w14:textId="77777777" w:rsidR="00AB5A41" w:rsidRDefault="00AB5A41" w:rsidP="004670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98997" w14:textId="77777777" w:rsidR="00AB5A41" w:rsidRDefault="00AB5A41" w:rsidP="00467055">
      <w:pPr>
        <w:spacing w:after="0" w:line="240" w:lineRule="auto"/>
      </w:pPr>
      <w:r>
        <w:separator/>
      </w:r>
    </w:p>
  </w:footnote>
  <w:footnote w:type="continuationSeparator" w:id="0">
    <w:p w14:paraId="44057710" w14:textId="77777777" w:rsidR="00AB5A41" w:rsidRDefault="00AB5A41" w:rsidP="00467055">
      <w:pPr>
        <w:spacing w:after="0" w:line="240" w:lineRule="auto"/>
      </w:pPr>
      <w:r>
        <w:continuationSeparator/>
      </w:r>
    </w:p>
  </w:footnote>
  <w:footnote w:id="1">
    <w:p w14:paraId="63C237CF" w14:textId="77777777" w:rsidR="005E3E2B" w:rsidRPr="005E3E2B" w:rsidRDefault="005E3E2B" w:rsidP="005E3E2B">
      <w:pPr>
        <w:pStyle w:val="Textpoznmkypodiarou"/>
        <w:jc w:val="both"/>
        <w:rPr>
          <w:rFonts w:ascii="Times New Roman" w:hAnsi="Times New Roman" w:cs="Times New Roman"/>
          <w:sz w:val="18"/>
          <w:szCs w:val="18"/>
        </w:rPr>
      </w:pPr>
      <w:r w:rsidRPr="005E3E2B"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 w:rsidRPr="005E3E2B">
        <w:rPr>
          <w:rFonts w:ascii="Times New Roman" w:hAnsi="Times New Roman" w:cs="Times New Roman"/>
          <w:sz w:val="18"/>
          <w:szCs w:val="18"/>
        </w:rPr>
        <w:t xml:space="preserve"> Obchodné meno/názov právnickej osoby alebo fyzickej osoby - podnikateľa, právna forma právnickej osoby a IČO, ak bolo pridelené, meno a priezvisko štatutárneho orgánu alebo členov štatutárneho orgánu právnickej osoby alebo osoby, ktoré sú oprávnené ich zastupovať, prijímať v ich mene rozhodnutia alebo ich kontrolovať, ktorý bol odsúdený za jeden z trestných činov korupcie uvedených v treťom diele ôsmej hlavy osobitnej časti Trestného zákona, trestný čin poškodzovania finančných záujmov Európskych spoločenstiev, trestný čin legalizácie príjmu z trestnej činnosti a trestného činu založenia, zosnovania a podporovania zločineckej skupiny alebo akékoľvek iné protiprávne konanie, ktoré </w:t>
      </w:r>
      <w:r>
        <w:rPr>
          <w:rFonts w:ascii="Times New Roman" w:hAnsi="Times New Roman" w:cs="Times New Roman"/>
          <w:sz w:val="18"/>
          <w:szCs w:val="18"/>
        </w:rPr>
        <w:t>poškodzuje finančné záujmy Únie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C0BEA" w14:textId="77777777" w:rsidR="00B76B17" w:rsidRDefault="00B76B17" w:rsidP="00B76B17">
    <w:pPr>
      <w:pStyle w:val="Hlavika"/>
    </w:pPr>
    <w:r>
      <w:rPr>
        <w:rFonts w:asciiTheme="majorHAnsi" w:hAnsiTheme="majorHAnsi" w:cstheme="majorHAnsi"/>
        <w:color w:val="404040" w:themeColor="text1" w:themeTint="BF"/>
      </w:rPr>
      <w:tab/>
    </w:r>
    <w:r>
      <w:rPr>
        <w:rFonts w:eastAsia="Times New Roman"/>
        <w:noProof/>
        <w:lang w:eastAsia="sk-SK"/>
      </w:rPr>
      <w:drawing>
        <wp:inline distT="0" distB="0" distL="0" distR="0" wp14:anchorId="251DB7FA" wp14:editId="0027ABCE">
          <wp:extent cx="5760720" cy="981500"/>
          <wp:effectExtent l="0" t="0" r="0" b="0"/>
          <wp:docPr id="24" name="Obrázok 24" descr="cid:5CD4AC02-FF01-41FA-A739-1164116CB8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FFA6B36-1A84-4A72-81A7-61DBB8C697BB" descr="cid:5CD4AC02-FF01-41FA-A739-1164116CB826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8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CF44A" w14:textId="054B71AD" w:rsidR="00B76B17" w:rsidRDefault="00B76B17" w:rsidP="00B76B17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Theme="majorHAnsi" w:hAnsiTheme="majorHAnsi" w:cstheme="majorHAnsi"/>
        <w:color w:val="404040" w:themeColor="text1" w:themeTint="BF"/>
      </w:rPr>
    </w:pPr>
    <w:r>
      <w:rPr>
        <w:rFonts w:asciiTheme="majorHAnsi" w:hAnsiTheme="majorHAnsi" w:cstheme="majorHAnsi"/>
        <w:color w:val="404040" w:themeColor="text1" w:themeTint="BF"/>
      </w:rPr>
      <w:t xml:space="preserve">                </w:t>
    </w:r>
  </w:p>
  <w:p w14:paraId="0071B447" w14:textId="368B6166" w:rsidR="00B76B17" w:rsidRPr="00D76112" w:rsidRDefault="00B76B17" w:rsidP="002F7061">
    <w:pPr>
      <w:widowControl w:val="0"/>
      <w:tabs>
        <w:tab w:val="center" w:pos="7728"/>
        <w:tab w:val="right" w:pos="11346"/>
      </w:tabs>
      <w:autoSpaceDE w:val="0"/>
      <w:autoSpaceDN w:val="0"/>
      <w:adjustRightInd w:val="0"/>
      <w:ind w:left="4111" w:right="-1282"/>
      <w:jc w:val="center"/>
      <w:rPr>
        <w:rFonts w:ascii="Times New Roman" w:hAnsi="Times New Roman" w:cs="Times New Roman"/>
        <w:color w:val="404040" w:themeColor="text1" w:themeTint="BF"/>
      </w:rPr>
    </w:pPr>
    <w:r w:rsidRPr="00D76112">
      <w:rPr>
        <w:rFonts w:ascii="Times New Roman" w:hAnsi="Times New Roman" w:cs="Times New Roman"/>
        <w:color w:val="404040" w:themeColor="text1" w:themeTint="BF"/>
      </w:rPr>
      <w:t xml:space="preserve">   Príloha č.</w:t>
    </w:r>
    <w:r w:rsidR="004F7D5E" w:rsidRPr="00D76112">
      <w:rPr>
        <w:rFonts w:ascii="Times New Roman" w:hAnsi="Times New Roman" w:cs="Times New Roman"/>
        <w:color w:val="404040" w:themeColor="text1" w:themeTint="BF"/>
      </w:rPr>
      <w:t>4 vyzvania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6175A9"/>
    <w:multiLevelType w:val="hybridMultilevel"/>
    <w:tmpl w:val="581E137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7375E8"/>
    <w:multiLevelType w:val="hybridMultilevel"/>
    <w:tmpl w:val="4AE6C0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55"/>
    <w:rsid w:val="00010DC2"/>
    <w:rsid w:val="001C4EAA"/>
    <w:rsid w:val="0026555A"/>
    <w:rsid w:val="002C0BCB"/>
    <w:rsid w:val="002F7061"/>
    <w:rsid w:val="003D08F7"/>
    <w:rsid w:val="00467055"/>
    <w:rsid w:val="004F7D5E"/>
    <w:rsid w:val="00536034"/>
    <w:rsid w:val="005E3E2B"/>
    <w:rsid w:val="006B66BA"/>
    <w:rsid w:val="006D7797"/>
    <w:rsid w:val="008B1B6A"/>
    <w:rsid w:val="008E413E"/>
    <w:rsid w:val="009740A9"/>
    <w:rsid w:val="009B5BB0"/>
    <w:rsid w:val="009D14AD"/>
    <w:rsid w:val="00AB5A41"/>
    <w:rsid w:val="00B76B17"/>
    <w:rsid w:val="00CB4D1A"/>
    <w:rsid w:val="00D76112"/>
    <w:rsid w:val="00D93E07"/>
    <w:rsid w:val="00DF4900"/>
    <w:rsid w:val="00F3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3C237B7"/>
  <w15:docId w15:val="{65FB3EF7-3199-4E3B-A946-F3B9A5E0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4670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7055"/>
  </w:style>
  <w:style w:type="paragraph" w:styleId="Pta">
    <w:name w:val="footer"/>
    <w:basedOn w:val="Normlny"/>
    <w:link w:val="PtaChar"/>
    <w:uiPriority w:val="99"/>
    <w:unhideWhenUsed/>
    <w:rsid w:val="004670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7055"/>
  </w:style>
  <w:style w:type="paragraph" w:styleId="Textbubliny">
    <w:name w:val="Balloon Text"/>
    <w:basedOn w:val="Normlny"/>
    <w:link w:val="TextbublinyChar"/>
    <w:uiPriority w:val="99"/>
    <w:semiHidden/>
    <w:unhideWhenUsed/>
    <w:rsid w:val="00467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67055"/>
    <w:rPr>
      <w:rFonts w:ascii="Tahoma" w:hAnsi="Tahoma" w:cs="Tahoma"/>
      <w:sz w:val="16"/>
      <w:szCs w:val="1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67055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67055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670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5CD4AC02-FF01-41FA-A739-1164116CB826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56DACCFAFF834185A23D75AF69D834" ma:contentTypeVersion="0" ma:contentTypeDescription="Umožňuje vytvoriť nový dokument." ma:contentTypeScope="" ma:versionID="666955dae70760e6faa535b887c366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63056-EB4F-4BB6-8504-2435BE9474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C3C66C-9D3F-49C7-B1C2-EF566DAAD5CD}">
  <ds:schemaRefs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2B48F31-BBA1-463B-BA85-0704ADD382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D3F6904-3384-4881-8AF6-071FC3270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Milan Matovič</dc:creator>
  <cp:lastModifiedBy>Zuzana Hušeková</cp:lastModifiedBy>
  <cp:revision>2</cp:revision>
  <dcterms:created xsi:type="dcterms:W3CDTF">2017-02-28T13:17:00Z</dcterms:created>
  <dcterms:modified xsi:type="dcterms:W3CDTF">2017-02-28T13:17:00Z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0x010100A056DACCFAFF834185A23D75AF69D834</vt:lpwstr>
  </property>
</Properties>
</file>