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1C77F265" w14:textId="10BEE96A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v zmysle čl. 105a a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nasl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. nariadenia Európskeho parlamentu a Rady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1929/2015 z 28. októbra 2015, ktorým sa mení nariadenie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č. 966/2012 o rozpočtových pravidlách, ktoré sa vzťahujú na všeobecný rozpočet Únie </w:t>
      </w:r>
    </w:p>
    <w:p w14:paraId="68EFCE8C" w14:textId="77777777" w:rsidR="005620C9" w:rsidRDefault="005620C9" w:rsidP="005620C9">
      <w:pPr>
        <w:jc w:val="both"/>
        <w:rPr>
          <w:rFonts w:ascii="Calibri" w:hAnsi="Calibri" w:cs="Calibri"/>
          <w:color w:val="000000"/>
        </w:rPr>
      </w:pPr>
    </w:p>
    <w:p w14:paraId="4F428A6E" w14:textId="7136792D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Európska komisia zriadila a prevádzkuje Systém včasného odhaľovania rizika a vylúčených subjektov – </w:t>
      </w:r>
      <w:proofErr w:type="spellStart"/>
      <w:r w:rsidRPr="005620C9">
        <w:rPr>
          <w:rFonts w:ascii="Calibri" w:hAnsi="Calibri" w:cs="Calibri"/>
          <w:color w:val="000000"/>
        </w:rPr>
        <w:t>The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Detection</w:t>
      </w:r>
      <w:proofErr w:type="spellEnd"/>
      <w:r w:rsidRPr="005620C9">
        <w:rPr>
          <w:rFonts w:ascii="Calibri" w:hAnsi="Calibri" w:cs="Calibri"/>
          <w:color w:val="000000"/>
        </w:rPr>
        <w:t xml:space="preserve"> and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(ďalej len „EDES databáza“), aby posilnila ochranu finančných záujmov Európskej únie. Od 1. januára 2016 EDES databáza nahrádza Systém včasného varovania (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Warning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– EWS) a Centrálnu databázu vylúčených subjektov (</w:t>
      </w:r>
      <w:proofErr w:type="spellStart"/>
      <w:r w:rsidRPr="005620C9">
        <w:rPr>
          <w:rFonts w:ascii="Calibri" w:hAnsi="Calibri" w:cs="Calibri"/>
          <w:color w:val="000000"/>
        </w:rPr>
        <w:t>Central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Database</w:t>
      </w:r>
      <w:proofErr w:type="spellEnd"/>
      <w:r w:rsidRPr="005620C9">
        <w:rPr>
          <w:rFonts w:ascii="Calibri" w:hAnsi="Calibri" w:cs="Calibri"/>
          <w:color w:val="000000"/>
        </w:rPr>
        <w:t xml:space="preserve"> – CED).</w:t>
      </w:r>
    </w:p>
    <w:p w14:paraId="743323C2" w14:textId="1E17C3CA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Účelom EDES databázy je (1) včasné odhaľovanie rizík ohrozujúcich finančné záujmy Európskej únie; (2) vylúčenie hospodárskych subjektov, ktoré sa nachádzajú v niektorej zo situácií vyžadujúcich vylúčenie z možnosti prijímať akékoľvek finančné prostriedky z rozpočtu Európskej únie uvedených v článku 106 ods. 1 nariadenia Európskeho parlamentu a Rady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č. 966/2012 o rozpočtových pravidlách, ktoré sa vzťahujú na všeobecný rozpočet Únie v znení nariadenia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1929/2015 (ďalej len „nariadenie o rozpočtových pravidlách“) a (3) ukladanie peňažných sankcií hospodárskym subjektom podľa článku 106 ods. 13 nariadenia o rozpočtových pravidlách. </w:t>
      </w:r>
    </w:p>
    <w:p w14:paraId="3FB07002" w14:textId="77777777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1A9879" w14:textId="0E5B8B50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Žiadatelia o nenávratný finančný príspevok, resp. o príspevok sú týmto informovaní, že v prípade, ak sa ocitnú v niektorej zo situácií uvedených v čl. 106 ods. 1 nariadenia o rozpočtových pravidlách, tak ich údaje môžu byť registrované v EDES databáze a môžu byť oznámené oprávneným osobám a inštitúciám v súvislosti s možnosťou poskytnutia finančných prostriedkov z rozpočtu Európskej únie.</w:t>
      </w:r>
    </w:p>
    <w:p w14:paraId="6D14BBF6" w14:textId="38D352AF" w:rsidR="005620C9" w:rsidRPr="005620C9" w:rsidRDefault="005620C9" w:rsidP="005620C9">
      <w:pPr>
        <w:jc w:val="both"/>
      </w:pPr>
      <w:r w:rsidRPr="005620C9">
        <w:rPr>
          <w:rFonts w:ascii="Calibri" w:hAnsi="Calibri" w:cs="Calibri"/>
          <w:color w:val="000000"/>
        </w:rPr>
        <w:t>Právnické a fyzické osoby si môžu zároveň uplatňovať svoje práva vyplývajúce z nariadenia Európskeho parlamentu a Rady (ES) č. 45/2001 z 18. decembra 2000 o ochrane jednotlivcov so zreteľom na spracovanie osobných údajov inštitúciami a orgánmi spoločenstva a o voľnom pohybe takýchto údajov a nariadenia Európskeho parlamentu a Rady (EÚ) 679/2016 z 27. apríla 2016 o ochrane fyzických osôb pri spracúvaní osobných údajov a o voľnom pohybe takýchto údajov, ktorým sa zrušuje smernica 95/46/ES (všeobecné nariadenie o ochrane údajov).</w:t>
      </w:r>
    </w:p>
    <w:sectPr w:rsidR="005620C9" w:rsidRPr="005620C9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494F8" w14:textId="77777777" w:rsidR="00967479" w:rsidRDefault="00967479" w:rsidP="00467055">
      <w:pPr>
        <w:spacing w:after="0" w:line="240" w:lineRule="auto"/>
      </w:pPr>
      <w:r>
        <w:separator/>
      </w:r>
    </w:p>
  </w:endnote>
  <w:endnote w:type="continuationSeparator" w:id="0">
    <w:p w14:paraId="515EC508" w14:textId="77777777" w:rsidR="00967479" w:rsidRDefault="00967479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CD2F" w14:textId="77777777" w:rsidR="00967479" w:rsidRDefault="00967479" w:rsidP="00467055">
      <w:pPr>
        <w:spacing w:after="0" w:line="240" w:lineRule="auto"/>
      </w:pPr>
      <w:r>
        <w:separator/>
      </w:r>
    </w:p>
  </w:footnote>
  <w:footnote w:type="continuationSeparator" w:id="0">
    <w:p w14:paraId="4DDA07DF" w14:textId="77777777" w:rsidR="00967479" w:rsidRDefault="00967479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036CBDD2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>yzvani</w:t>
    </w:r>
    <w:r w:rsidR="00F700F2">
      <w:rPr>
        <w:rFonts w:asciiTheme="majorHAnsi" w:hAnsiTheme="majorHAnsi" w:cstheme="majorHAnsi"/>
        <w:color w:val="404040" w:themeColor="text1" w:themeTint="BF"/>
      </w:rPr>
      <w:t>a</w:t>
    </w:r>
    <w:r w:rsidRPr="00554892">
      <w:rPr>
        <w:rFonts w:asciiTheme="majorHAnsi" w:hAnsiTheme="majorHAnsi" w:cstheme="majorHAnsi"/>
        <w:color w:val="404040" w:themeColor="text1" w:themeTint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45EE"/>
    <w:rsid w:val="00467055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67479"/>
    <w:rsid w:val="009740A9"/>
    <w:rsid w:val="009B5BB0"/>
    <w:rsid w:val="009D14AD"/>
    <w:rsid w:val="00A47EBB"/>
    <w:rsid w:val="00B76B17"/>
    <w:rsid w:val="00B825B1"/>
    <w:rsid w:val="00CB3C0A"/>
    <w:rsid w:val="00CB4D1A"/>
    <w:rsid w:val="00DF4900"/>
    <w:rsid w:val="00E63AB9"/>
    <w:rsid w:val="00F55A91"/>
    <w:rsid w:val="00F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FCE42-714E-42A6-ADB0-4095B0C183E2}"/>
</file>

<file path=customXml/itemProps2.xml><?xml version="1.0" encoding="utf-8"?>
<ds:datastoreItem xmlns:ds="http://schemas.openxmlformats.org/officeDocument/2006/customXml" ds:itemID="{1FF63056-EB4F-4BB6-8504-2435BE94746D}"/>
</file>

<file path=customXml/itemProps3.xml><?xml version="1.0" encoding="utf-8"?>
<ds:datastoreItem xmlns:ds="http://schemas.openxmlformats.org/officeDocument/2006/customXml" ds:itemID="{A6C3C66C-9D3F-49C7-B1C2-EF566DAAD5CD}"/>
</file>

<file path=customXml/itemProps4.xml><?xml version="1.0" encoding="utf-8"?>
<ds:datastoreItem xmlns:ds="http://schemas.openxmlformats.org/officeDocument/2006/customXml" ds:itemID="{9FCC5022-BFF1-4B2C-A5D5-4584D523C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24</cp:revision>
  <dcterms:created xsi:type="dcterms:W3CDTF">2015-09-30T08:28:00Z</dcterms:created>
  <dcterms:modified xsi:type="dcterms:W3CDTF">2019-10-28T12:48:00Z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