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5C0" w:rsidRPr="00071D07" w:rsidRDefault="00534853" w:rsidP="006A15C0">
      <w:pPr>
        <w:spacing w:after="0" w:line="240" w:lineRule="auto"/>
        <w:jc w:val="center"/>
        <w:rPr>
          <w:rFonts w:ascii="Times New Roman" w:hAnsi="Times New Roman" w:cs="Times New Roman"/>
          <w:b/>
          <w:sz w:val="24"/>
          <w:szCs w:val="24"/>
        </w:rPr>
      </w:pPr>
      <w:bookmarkStart w:id="0" w:name="_GoBack"/>
      <w:bookmarkEnd w:id="0"/>
      <w:r w:rsidRPr="00071D07">
        <w:rPr>
          <w:rFonts w:ascii="Times New Roman" w:hAnsi="Times New Roman" w:cs="Times New Roman"/>
          <w:b/>
          <w:sz w:val="24"/>
          <w:szCs w:val="24"/>
        </w:rPr>
        <w:t>Zoznam oprávnených a neoprávnených výdavkov</w:t>
      </w:r>
    </w:p>
    <w:p w:rsidR="006A15C0" w:rsidRPr="00071D07" w:rsidRDefault="006A15C0"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_____________________________________________</w:t>
      </w:r>
    </w:p>
    <w:p w:rsidR="000430D6" w:rsidRPr="00071D07" w:rsidRDefault="000430D6" w:rsidP="004E29A8">
      <w:pPr>
        <w:jc w:val="both"/>
        <w:rPr>
          <w:rFonts w:ascii="Times New Roman" w:hAnsi="Times New Roman" w:cs="Times New Roman"/>
          <w:sz w:val="24"/>
          <w:szCs w:val="24"/>
        </w:rPr>
      </w:pPr>
    </w:p>
    <w:p w:rsidR="00F84E4F" w:rsidRDefault="00F84E4F" w:rsidP="00F84E4F">
      <w:pPr>
        <w:jc w:val="both"/>
        <w:rPr>
          <w:rFonts w:ascii="Verdana" w:hAnsi="Verdana"/>
          <w:b/>
        </w:rPr>
      </w:pPr>
      <w:r w:rsidRPr="007B3B82">
        <w:rPr>
          <w:rFonts w:ascii="Verdana" w:hAnsi="Verdana"/>
          <w:b/>
        </w:rPr>
        <w:t>Oprávnené výdavky nepriame</w:t>
      </w:r>
      <w:r>
        <w:rPr>
          <w:rStyle w:val="Odkaznapoznmkupodiarou"/>
          <w:rFonts w:ascii="Verdana" w:hAnsi="Verdana"/>
          <w:b/>
        </w:rPr>
        <w:footnoteReference w:id="1"/>
      </w:r>
      <w:r w:rsidRPr="007B3B82">
        <w:rPr>
          <w:rFonts w:ascii="Verdana" w:hAnsi="Verdana"/>
          <w:b/>
        </w:rPr>
        <w:t xml:space="preserve"> pre žiadateľa:</w:t>
      </w:r>
    </w:p>
    <w:p w:rsidR="00F84E4F" w:rsidRPr="00F84E4F" w:rsidRDefault="00F84E4F" w:rsidP="00F84E4F">
      <w:pPr>
        <w:pStyle w:val="Odsekzoznamu"/>
        <w:numPr>
          <w:ilvl w:val="0"/>
          <w:numId w:val="3"/>
        </w:numPr>
        <w:jc w:val="both"/>
        <w:rPr>
          <w:rFonts w:ascii="Times New Roman" w:hAnsi="Times New Roman" w:cs="Times New Roman"/>
          <w:sz w:val="24"/>
          <w:szCs w:val="24"/>
        </w:rPr>
      </w:pPr>
      <w:r w:rsidRPr="00F84E4F">
        <w:rPr>
          <w:rFonts w:ascii="Times New Roman" w:hAnsi="Times New Roman" w:cs="Times New Roman"/>
          <w:sz w:val="24"/>
          <w:szCs w:val="24"/>
        </w:rPr>
        <w:t>personálne výdavky</w:t>
      </w:r>
      <w:r w:rsidRPr="00F84E4F">
        <w:rPr>
          <w:rStyle w:val="Odkaznapoznmkupodiarou"/>
          <w:rFonts w:ascii="Times New Roman" w:hAnsi="Times New Roman" w:cs="Times New Roman"/>
          <w:sz w:val="24"/>
          <w:szCs w:val="24"/>
        </w:rPr>
        <w:footnoteReference w:id="2"/>
      </w:r>
      <w:r w:rsidRPr="00F84E4F">
        <w:rPr>
          <w:rFonts w:ascii="Times New Roman" w:hAnsi="Times New Roman" w:cs="Times New Roman"/>
          <w:sz w:val="24"/>
          <w:szCs w:val="24"/>
        </w:rPr>
        <w:t xml:space="preserve"> priamo súvisiace s riadením projektu</w:t>
      </w:r>
      <w:r w:rsidRPr="00F84E4F">
        <w:rPr>
          <w:rStyle w:val="Odkaznapoznmkupodiarou"/>
          <w:rFonts w:ascii="Times New Roman" w:hAnsi="Times New Roman" w:cs="Times New Roman"/>
          <w:sz w:val="24"/>
          <w:szCs w:val="24"/>
        </w:rPr>
        <w:footnoteReference w:id="3"/>
      </w:r>
      <w:r w:rsidRPr="00F84E4F">
        <w:rPr>
          <w:rFonts w:ascii="Times New Roman" w:hAnsi="Times New Roman" w:cs="Times New Roman"/>
          <w:sz w:val="24"/>
          <w:szCs w:val="24"/>
        </w:rPr>
        <w:t xml:space="preserve"> (riadiaci pracovníci: projektový manažér, finančný manažér, administratívni pracovníci: asistent projektového manažéra, asistent finančného manažéra, HR špecialista)</w:t>
      </w:r>
      <w:r w:rsidRPr="00F84E4F">
        <w:rPr>
          <w:rStyle w:val="Odkaznapoznmkupodiarou"/>
          <w:rFonts w:ascii="Times New Roman" w:hAnsi="Times New Roman" w:cs="Times New Roman"/>
          <w:sz w:val="24"/>
          <w:szCs w:val="24"/>
        </w:rPr>
        <w:footnoteReference w:id="4"/>
      </w:r>
      <w:r w:rsidRPr="00F84E4F">
        <w:rPr>
          <w:rFonts w:ascii="Times New Roman" w:hAnsi="Times New Roman" w:cs="Times New Roman"/>
          <w:sz w:val="24"/>
          <w:szCs w:val="24"/>
        </w:rPr>
        <w:t>;</w:t>
      </w:r>
    </w:p>
    <w:p w:rsidR="00F84E4F" w:rsidRPr="00F84E4F" w:rsidRDefault="00F84E4F" w:rsidP="00F84E4F">
      <w:pPr>
        <w:pStyle w:val="Odsekzoznamu"/>
        <w:numPr>
          <w:ilvl w:val="0"/>
          <w:numId w:val="3"/>
        </w:numPr>
        <w:jc w:val="both"/>
        <w:rPr>
          <w:rFonts w:ascii="Times New Roman" w:hAnsi="Times New Roman" w:cs="Times New Roman"/>
          <w:sz w:val="24"/>
          <w:szCs w:val="24"/>
        </w:rPr>
      </w:pPr>
      <w:r w:rsidRPr="00F84E4F">
        <w:rPr>
          <w:rFonts w:ascii="Times New Roman" w:hAnsi="Times New Roman" w:cs="Times New Roman"/>
          <w:sz w:val="24"/>
          <w:szCs w:val="24"/>
        </w:rPr>
        <w:t>cestovné náhrady - tuzemské pracovné cesty vzťahujúce sa na riadiacich a administratívnych pracovníkov, ktoré vznikli v súvislosti s riadením projektu za účelom administrácie projektu (úhrada cestovných náhrad ako oprávnený výdavok platí len pri uzatvorení pracovnoprávnych vzťahov alebo obdobných pracovných vzťahov so žiadateľom/prijímateľom</w:t>
      </w:r>
      <w:r w:rsidRPr="00F84E4F">
        <w:rPr>
          <w:rStyle w:val="Odkaznapoznmkupodiarou"/>
          <w:rFonts w:ascii="Times New Roman" w:hAnsi="Times New Roman" w:cs="Times New Roman"/>
          <w:sz w:val="24"/>
          <w:szCs w:val="24"/>
        </w:rPr>
        <w:footnoteReference w:id="5"/>
      </w:r>
      <w:r w:rsidRPr="00F84E4F">
        <w:rPr>
          <w:rFonts w:ascii="Times New Roman" w:hAnsi="Times New Roman" w:cs="Times New Roman"/>
          <w:sz w:val="24"/>
          <w:szCs w:val="24"/>
        </w:rPr>
        <w:t>);</w:t>
      </w:r>
    </w:p>
    <w:p w:rsidR="00F84E4F" w:rsidRPr="00F84E4F" w:rsidRDefault="00F84E4F" w:rsidP="00F84E4F">
      <w:pPr>
        <w:pStyle w:val="Odsekzoznamu"/>
        <w:numPr>
          <w:ilvl w:val="0"/>
          <w:numId w:val="3"/>
        </w:numPr>
        <w:jc w:val="both"/>
        <w:rPr>
          <w:rFonts w:ascii="Times New Roman" w:hAnsi="Times New Roman" w:cs="Times New Roman"/>
          <w:sz w:val="24"/>
          <w:szCs w:val="24"/>
        </w:rPr>
      </w:pPr>
      <w:r w:rsidRPr="00F84E4F">
        <w:rPr>
          <w:rFonts w:ascii="Times New Roman" w:hAnsi="Times New Roman" w:cs="Times New Roman"/>
          <w:sz w:val="24"/>
          <w:szCs w:val="24"/>
        </w:rPr>
        <w:t>výdavky za prevádzku vozidla, ktoré používa výlučne riadiaci a administratívny personál;</w:t>
      </w:r>
    </w:p>
    <w:p w:rsidR="00F84E4F" w:rsidRPr="00F84E4F" w:rsidRDefault="00F84E4F" w:rsidP="00F84E4F">
      <w:pPr>
        <w:pStyle w:val="Odsekzoznamu"/>
        <w:numPr>
          <w:ilvl w:val="0"/>
          <w:numId w:val="3"/>
        </w:numPr>
        <w:jc w:val="both"/>
        <w:rPr>
          <w:rFonts w:ascii="Times New Roman" w:hAnsi="Times New Roman" w:cs="Times New Roman"/>
          <w:sz w:val="24"/>
          <w:szCs w:val="24"/>
        </w:rPr>
      </w:pPr>
      <w:r w:rsidRPr="00F84E4F">
        <w:rPr>
          <w:rFonts w:ascii="Times New Roman" w:hAnsi="Times New Roman" w:cs="Times New Roman"/>
          <w:sz w:val="24"/>
          <w:szCs w:val="24"/>
        </w:rPr>
        <w:t>výdavky na spotrebný materiál pre realizáciu odborných a podporných aktivít projektu (napr. kancelársky papier, šanóny, zakladače, kancelárske spinky a pod.);</w:t>
      </w:r>
    </w:p>
    <w:p w:rsidR="00F84E4F" w:rsidRPr="00F84E4F" w:rsidRDefault="00F84E4F" w:rsidP="00F84E4F">
      <w:pPr>
        <w:pStyle w:val="Odsekzoznamu"/>
        <w:numPr>
          <w:ilvl w:val="0"/>
          <w:numId w:val="3"/>
        </w:numPr>
        <w:jc w:val="both"/>
        <w:rPr>
          <w:rFonts w:ascii="Times New Roman" w:hAnsi="Times New Roman" w:cs="Times New Roman"/>
          <w:sz w:val="24"/>
          <w:szCs w:val="24"/>
        </w:rPr>
      </w:pPr>
      <w:r w:rsidRPr="00F84E4F">
        <w:rPr>
          <w:rFonts w:ascii="Times New Roman" w:hAnsi="Times New Roman" w:cs="Times New Roman"/>
          <w:sz w:val="24"/>
          <w:szCs w:val="24"/>
        </w:rPr>
        <w:t>výdavky na informovanie a komunikáciu (letáky, plagáty, brožúrky, inzercia v tlačených a internetových médiách a pod.);</w:t>
      </w:r>
    </w:p>
    <w:p w:rsidR="00F84E4F" w:rsidRPr="00F84E4F" w:rsidRDefault="00F84E4F" w:rsidP="00F84E4F">
      <w:pPr>
        <w:pStyle w:val="Odsekzoznamu"/>
        <w:numPr>
          <w:ilvl w:val="0"/>
          <w:numId w:val="3"/>
        </w:numPr>
        <w:jc w:val="both"/>
        <w:rPr>
          <w:rFonts w:ascii="Times New Roman" w:hAnsi="Times New Roman" w:cs="Times New Roman"/>
          <w:sz w:val="24"/>
          <w:szCs w:val="24"/>
        </w:rPr>
      </w:pPr>
      <w:r w:rsidRPr="00F84E4F">
        <w:rPr>
          <w:rFonts w:ascii="Times New Roman" w:hAnsi="Times New Roman" w:cs="Times New Roman"/>
          <w:sz w:val="24"/>
          <w:szCs w:val="24"/>
        </w:rPr>
        <w:lastRenderedPageBreak/>
        <w:t>výdavky na zabezpečenie telekomunikačných služieb, poštových služieb a prístup na internet pre riadiaci/administratívny a odborný personál;</w:t>
      </w:r>
    </w:p>
    <w:p w:rsidR="00F84E4F" w:rsidRPr="00F84E4F" w:rsidRDefault="00F84E4F" w:rsidP="00F84E4F">
      <w:pPr>
        <w:pStyle w:val="Odsekzoznamu"/>
        <w:numPr>
          <w:ilvl w:val="0"/>
          <w:numId w:val="3"/>
        </w:numPr>
        <w:jc w:val="both"/>
        <w:rPr>
          <w:rFonts w:ascii="Times New Roman" w:hAnsi="Times New Roman" w:cs="Times New Roman"/>
          <w:sz w:val="24"/>
          <w:szCs w:val="24"/>
        </w:rPr>
      </w:pPr>
      <w:r w:rsidRPr="00F84E4F">
        <w:rPr>
          <w:rFonts w:ascii="Times New Roman" w:hAnsi="Times New Roman" w:cs="Times New Roman"/>
          <w:sz w:val="24"/>
          <w:szCs w:val="24"/>
        </w:rPr>
        <w:t>výdavky na nájom priestorov, energie a upratovanie pre riadiaci/administratívny a odborný personál;</w:t>
      </w:r>
    </w:p>
    <w:p w:rsidR="00F84E4F" w:rsidRPr="00F84E4F" w:rsidRDefault="00F84E4F" w:rsidP="00F84E4F">
      <w:pPr>
        <w:pStyle w:val="Odsekzoznamu"/>
        <w:numPr>
          <w:ilvl w:val="0"/>
          <w:numId w:val="3"/>
        </w:numPr>
        <w:jc w:val="both"/>
        <w:rPr>
          <w:rFonts w:ascii="Times New Roman" w:hAnsi="Times New Roman" w:cs="Times New Roman"/>
          <w:sz w:val="24"/>
          <w:szCs w:val="24"/>
        </w:rPr>
      </w:pPr>
      <w:r w:rsidRPr="00F84E4F">
        <w:rPr>
          <w:rFonts w:ascii="Times New Roman" w:hAnsi="Times New Roman" w:cs="Times New Roman"/>
          <w:sz w:val="24"/>
          <w:szCs w:val="24"/>
        </w:rPr>
        <w:t>výdavky na obstaranie zariadenia a vybavenia, ktoré výlučne používa riadiaci a administratívny personál</w:t>
      </w:r>
      <w:r w:rsidRPr="00F84E4F">
        <w:rPr>
          <w:rStyle w:val="Odkaznapoznmkupodiarou"/>
          <w:rFonts w:ascii="Times New Roman" w:hAnsi="Times New Roman" w:cs="Times New Roman"/>
          <w:sz w:val="24"/>
          <w:szCs w:val="24"/>
        </w:rPr>
        <w:footnoteReference w:id="6"/>
      </w:r>
      <w:r w:rsidRPr="00F84E4F">
        <w:rPr>
          <w:rFonts w:ascii="Times New Roman" w:hAnsi="Times New Roman" w:cs="Times New Roman"/>
          <w:sz w:val="24"/>
          <w:szCs w:val="24"/>
        </w:rPr>
        <w:t>;</w:t>
      </w:r>
    </w:p>
    <w:p w:rsidR="00F84E4F" w:rsidRPr="00F84E4F" w:rsidRDefault="00F84E4F" w:rsidP="00F84E4F">
      <w:pPr>
        <w:pStyle w:val="Odsekzoznamu"/>
        <w:numPr>
          <w:ilvl w:val="0"/>
          <w:numId w:val="3"/>
        </w:numPr>
        <w:jc w:val="both"/>
        <w:rPr>
          <w:rFonts w:ascii="Times New Roman" w:hAnsi="Times New Roman" w:cs="Times New Roman"/>
          <w:sz w:val="24"/>
          <w:szCs w:val="24"/>
        </w:rPr>
      </w:pPr>
      <w:r w:rsidRPr="00F84E4F">
        <w:rPr>
          <w:rFonts w:ascii="Times New Roman" w:hAnsi="Times New Roman" w:cs="Times New Roman"/>
          <w:sz w:val="24"/>
          <w:szCs w:val="24"/>
        </w:rPr>
        <w:t>stravné výdavky k personálnym výdavkom na riadiaci a administratívny personál (príspevok zamestnávateľa na stravné).</w:t>
      </w:r>
    </w:p>
    <w:p w:rsidR="00F84E4F" w:rsidRPr="00F84E4F" w:rsidRDefault="00F84E4F" w:rsidP="00F84E4F">
      <w:pPr>
        <w:pStyle w:val="Odsekzoznamu"/>
        <w:jc w:val="both"/>
        <w:rPr>
          <w:rFonts w:ascii="Times New Roman" w:hAnsi="Times New Roman" w:cs="Times New Roman"/>
          <w:sz w:val="24"/>
          <w:szCs w:val="24"/>
        </w:rPr>
      </w:pPr>
    </w:p>
    <w:p w:rsidR="00F84E4F" w:rsidRPr="00F84E4F" w:rsidRDefault="00F84E4F" w:rsidP="00F84E4F">
      <w:pPr>
        <w:jc w:val="both"/>
        <w:rPr>
          <w:rFonts w:ascii="Times New Roman" w:hAnsi="Times New Roman" w:cs="Times New Roman"/>
          <w:b/>
          <w:sz w:val="24"/>
          <w:szCs w:val="24"/>
        </w:rPr>
      </w:pPr>
      <w:r w:rsidRPr="00F84E4F">
        <w:rPr>
          <w:rFonts w:ascii="Times New Roman" w:hAnsi="Times New Roman" w:cs="Times New Roman"/>
          <w:b/>
          <w:sz w:val="24"/>
          <w:szCs w:val="24"/>
        </w:rPr>
        <w:t>Oprávnené výdavky priame pre žiadateľa:</w:t>
      </w:r>
    </w:p>
    <w:p w:rsidR="00F84E4F" w:rsidRPr="00F84E4F" w:rsidRDefault="00F84E4F" w:rsidP="00F84E4F">
      <w:pPr>
        <w:pStyle w:val="Odsekzoznamu"/>
        <w:numPr>
          <w:ilvl w:val="0"/>
          <w:numId w:val="3"/>
        </w:numPr>
        <w:jc w:val="both"/>
        <w:rPr>
          <w:rFonts w:ascii="Times New Roman" w:hAnsi="Times New Roman" w:cs="Times New Roman"/>
          <w:sz w:val="24"/>
          <w:szCs w:val="24"/>
        </w:rPr>
      </w:pPr>
      <w:r w:rsidRPr="00F84E4F">
        <w:rPr>
          <w:rFonts w:ascii="Times New Roman" w:hAnsi="Times New Roman" w:cs="Times New Roman"/>
          <w:sz w:val="24"/>
          <w:szCs w:val="24"/>
        </w:rPr>
        <w:t>výdavky na obstaranie zariadenia a vybavenia, ktoré výlučne používa odborný personál</w:t>
      </w:r>
      <w:r w:rsidRPr="00F84E4F">
        <w:rPr>
          <w:rStyle w:val="Odkaznapoznmkupodiarou"/>
          <w:rFonts w:ascii="Times New Roman" w:hAnsi="Times New Roman" w:cs="Times New Roman"/>
          <w:sz w:val="24"/>
          <w:szCs w:val="24"/>
        </w:rPr>
        <w:footnoteReference w:id="7"/>
      </w:r>
      <w:r w:rsidRPr="00F84E4F">
        <w:rPr>
          <w:rFonts w:ascii="Times New Roman" w:hAnsi="Times New Roman" w:cs="Times New Roman"/>
          <w:sz w:val="24"/>
          <w:szCs w:val="24"/>
        </w:rPr>
        <w:t>;</w:t>
      </w:r>
    </w:p>
    <w:p w:rsidR="00F84E4F" w:rsidRPr="00F84E4F" w:rsidRDefault="00F84E4F" w:rsidP="00F84E4F">
      <w:pPr>
        <w:pStyle w:val="Odsekzoznamu"/>
        <w:numPr>
          <w:ilvl w:val="0"/>
          <w:numId w:val="3"/>
        </w:numPr>
        <w:jc w:val="both"/>
        <w:rPr>
          <w:rFonts w:ascii="Times New Roman" w:hAnsi="Times New Roman" w:cs="Times New Roman"/>
          <w:sz w:val="24"/>
          <w:szCs w:val="24"/>
        </w:rPr>
      </w:pPr>
      <w:r w:rsidRPr="00F84E4F">
        <w:rPr>
          <w:rFonts w:ascii="Times New Roman" w:hAnsi="Times New Roman" w:cs="Times New Roman"/>
          <w:sz w:val="24"/>
          <w:szCs w:val="24"/>
        </w:rPr>
        <w:t>personálne výdavky</w:t>
      </w:r>
      <w:r w:rsidRPr="00F84E4F">
        <w:rPr>
          <w:rStyle w:val="Odkaznapoznmkupodiarou"/>
          <w:rFonts w:ascii="Times New Roman" w:hAnsi="Times New Roman" w:cs="Times New Roman"/>
          <w:sz w:val="24"/>
          <w:szCs w:val="24"/>
        </w:rPr>
        <w:footnoteReference w:id="8"/>
      </w:r>
      <w:r w:rsidRPr="00F84E4F">
        <w:rPr>
          <w:rFonts w:ascii="Times New Roman" w:hAnsi="Times New Roman" w:cs="Times New Roman"/>
          <w:sz w:val="24"/>
          <w:szCs w:val="24"/>
        </w:rPr>
        <w:t xml:space="preserve"> – odborný personál, ktorí sa výlučne podieľa na odborných aktivitách projektu</w:t>
      </w:r>
      <w:r w:rsidRPr="00F84E4F">
        <w:rPr>
          <w:rStyle w:val="Odkaznapoznmkupodiarou"/>
          <w:rFonts w:ascii="Times New Roman" w:hAnsi="Times New Roman" w:cs="Times New Roman"/>
          <w:sz w:val="24"/>
          <w:szCs w:val="24"/>
        </w:rPr>
        <w:footnoteReference w:id="9"/>
      </w:r>
      <w:r w:rsidRPr="00F84E4F">
        <w:rPr>
          <w:rFonts w:ascii="Times New Roman" w:hAnsi="Times New Roman" w:cs="Times New Roman"/>
          <w:sz w:val="24"/>
          <w:szCs w:val="24"/>
        </w:rPr>
        <w:t>;</w:t>
      </w:r>
    </w:p>
    <w:p w:rsidR="00F84E4F" w:rsidRPr="00F84E4F" w:rsidRDefault="00F84E4F" w:rsidP="00F84E4F">
      <w:pPr>
        <w:pStyle w:val="Odsekzoznamu"/>
        <w:numPr>
          <w:ilvl w:val="0"/>
          <w:numId w:val="3"/>
        </w:numPr>
        <w:jc w:val="both"/>
        <w:rPr>
          <w:rFonts w:ascii="Times New Roman" w:hAnsi="Times New Roman" w:cs="Times New Roman"/>
          <w:sz w:val="24"/>
          <w:szCs w:val="24"/>
        </w:rPr>
      </w:pPr>
      <w:r w:rsidRPr="00F84E4F">
        <w:rPr>
          <w:rFonts w:ascii="Times New Roman" w:hAnsi="Times New Roman" w:cs="Times New Roman"/>
          <w:sz w:val="24"/>
          <w:szCs w:val="24"/>
        </w:rPr>
        <w:t>cestovné náhrady - tuzemské a zahraničné pracovné cesty vzťahujúce sa na odborný personál, ktoré vznikli v súvislosti s realizáciou odborných aktivít projektu (úhrada cestovných náhrad ako oprávnený výdavok platí len pri uzatvorení pracovnoprávnych vzťahov alebo obdobných pracovných vzťahov so žiadateľom/prijímateľom</w:t>
      </w:r>
      <w:r w:rsidRPr="00F84E4F">
        <w:rPr>
          <w:rStyle w:val="Odkaznapoznmkupodiarou"/>
          <w:rFonts w:ascii="Times New Roman" w:hAnsi="Times New Roman" w:cs="Times New Roman"/>
          <w:sz w:val="24"/>
          <w:szCs w:val="24"/>
        </w:rPr>
        <w:footnoteReference w:id="10"/>
      </w:r>
      <w:r w:rsidRPr="00F84E4F">
        <w:rPr>
          <w:rFonts w:ascii="Times New Roman" w:hAnsi="Times New Roman" w:cs="Times New Roman"/>
          <w:sz w:val="24"/>
          <w:szCs w:val="24"/>
        </w:rPr>
        <w:t>);</w:t>
      </w:r>
    </w:p>
    <w:p w:rsidR="00F84E4F" w:rsidRPr="00F84E4F" w:rsidRDefault="00F84E4F" w:rsidP="00F84E4F">
      <w:pPr>
        <w:pStyle w:val="Odsekzoznamu"/>
        <w:numPr>
          <w:ilvl w:val="0"/>
          <w:numId w:val="3"/>
        </w:numPr>
        <w:jc w:val="both"/>
        <w:rPr>
          <w:rFonts w:ascii="Times New Roman" w:hAnsi="Times New Roman" w:cs="Times New Roman"/>
          <w:sz w:val="24"/>
          <w:szCs w:val="24"/>
        </w:rPr>
      </w:pPr>
      <w:r w:rsidRPr="00F84E4F">
        <w:rPr>
          <w:rFonts w:ascii="Times New Roman" w:hAnsi="Times New Roman" w:cs="Times New Roman"/>
          <w:sz w:val="24"/>
          <w:szCs w:val="24"/>
        </w:rPr>
        <w:t>výdavky za prevádzku vozidla, ktorého použitie súvisí s odbornými aktivitami projektu;</w:t>
      </w:r>
    </w:p>
    <w:p w:rsidR="00F84E4F" w:rsidRPr="00F84E4F" w:rsidRDefault="00F84E4F" w:rsidP="00F84E4F">
      <w:pPr>
        <w:pStyle w:val="Odsekzoznamu"/>
        <w:numPr>
          <w:ilvl w:val="0"/>
          <w:numId w:val="3"/>
        </w:numPr>
        <w:jc w:val="both"/>
        <w:rPr>
          <w:rFonts w:ascii="Times New Roman" w:hAnsi="Times New Roman" w:cs="Times New Roman"/>
          <w:sz w:val="24"/>
          <w:szCs w:val="24"/>
        </w:rPr>
      </w:pPr>
      <w:r w:rsidRPr="00F84E4F">
        <w:rPr>
          <w:rFonts w:ascii="Times New Roman" w:hAnsi="Times New Roman" w:cs="Times New Roman"/>
          <w:sz w:val="24"/>
          <w:szCs w:val="24"/>
        </w:rPr>
        <w:t>výdavky na individuálne školenia súvisiace s odbornými aktivitami projektu;</w:t>
      </w:r>
    </w:p>
    <w:p w:rsidR="00F84E4F" w:rsidRPr="00F84E4F" w:rsidRDefault="00F84E4F" w:rsidP="00F84E4F">
      <w:pPr>
        <w:pStyle w:val="Odsekzoznamu"/>
        <w:numPr>
          <w:ilvl w:val="0"/>
          <w:numId w:val="3"/>
        </w:numPr>
        <w:jc w:val="both"/>
        <w:rPr>
          <w:rFonts w:ascii="Times New Roman" w:hAnsi="Times New Roman" w:cs="Times New Roman"/>
          <w:sz w:val="24"/>
          <w:szCs w:val="24"/>
        </w:rPr>
      </w:pPr>
      <w:r w:rsidRPr="00F84E4F">
        <w:rPr>
          <w:rFonts w:ascii="Times New Roman" w:hAnsi="Times New Roman" w:cs="Times New Roman"/>
          <w:sz w:val="24"/>
          <w:szCs w:val="24"/>
        </w:rPr>
        <w:lastRenderedPageBreak/>
        <w:t>výdavky na organizáciu workshopov. Tieto výdavky najčastejšie pokrývajú náklady na prenájom kongresovej miestnosti, potrebnej techniky, ubytovacie a stravovacie náklady účastníkov, nákup materiálu a pomôcok, výdavky na cestovné náhrady prizvaných odborníkov zo zahraničia a pod. (napr. letenky a potrebné vedľajšie výdavky napr. cestovné mestskej hromadnej dopravy, tlmočnícke a prekladateľské služby, konferenčný servis za účelom organizácie a zabezpečenia podujatí a pod.);</w:t>
      </w:r>
    </w:p>
    <w:p w:rsidR="00F84E4F" w:rsidRPr="00F84E4F" w:rsidRDefault="00F84E4F" w:rsidP="00F84E4F">
      <w:pPr>
        <w:pStyle w:val="Odsekzoznamu"/>
        <w:numPr>
          <w:ilvl w:val="0"/>
          <w:numId w:val="3"/>
        </w:numPr>
        <w:jc w:val="both"/>
        <w:rPr>
          <w:rFonts w:ascii="Times New Roman" w:hAnsi="Times New Roman" w:cs="Times New Roman"/>
          <w:sz w:val="24"/>
          <w:szCs w:val="24"/>
        </w:rPr>
      </w:pPr>
      <w:r w:rsidRPr="00F84E4F">
        <w:rPr>
          <w:rFonts w:ascii="Times New Roman" w:hAnsi="Times New Roman" w:cs="Times New Roman"/>
          <w:sz w:val="24"/>
          <w:szCs w:val="24"/>
        </w:rPr>
        <w:t>výdavky na analýzy, štúdie, expertízy, posudky, odborné služby súvisiace s implementáciou projektu – dodávané externe;</w:t>
      </w:r>
    </w:p>
    <w:p w:rsidR="00F84E4F" w:rsidRPr="00F84E4F" w:rsidRDefault="00F84E4F" w:rsidP="00F84E4F">
      <w:pPr>
        <w:pStyle w:val="Odsekzoznamu"/>
        <w:numPr>
          <w:ilvl w:val="0"/>
          <w:numId w:val="3"/>
        </w:numPr>
        <w:jc w:val="both"/>
        <w:rPr>
          <w:rFonts w:ascii="Times New Roman" w:hAnsi="Times New Roman" w:cs="Times New Roman"/>
          <w:sz w:val="24"/>
          <w:szCs w:val="24"/>
        </w:rPr>
      </w:pPr>
      <w:r w:rsidRPr="00F84E4F">
        <w:rPr>
          <w:rFonts w:ascii="Times New Roman" w:hAnsi="Times New Roman" w:cs="Times New Roman"/>
          <w:sz w:val="24"/>
          <w:szCs w:val="24"/>
        </w:rPr>
        <w:t>výdavky na zabezpečenie vzdelávania zamestnancov verejnej správy – tieto výdavky najčastejšie pokrývajú náklady na lektorov, prenájom školiacich miestností, potrebnej techniky, ubytovacie, stravovacie náklady, náklady na školiace materiály a pod.;</w:t>
      </w:r>
    </w:p>
    <w:p w:rsidR="00F84E4F" w:rsidRPr="00F84E4F" w:rsidRDefault="00F84E4F" w:rsidP="00F84E4F">
      <w:pPr>
        <w:pStyle w:val="Odsekzoznamu"/>
        <w:numPr>
          <w:ilvl w:val="0"/>
          <w:numId w:val="3"/>
        </w:numPr>
        <w:jc w:val="both"/>
        <w:rPr>
          <w:rFonts w:ascii="Times New Roman" w:hAnsi="Times New Roman" w:cs="Times New Roman"/>
          <w:sz w:val="24"/>
          <w:szCs w:val="24"/>
        </w:rPr>
      </w:pPr>
      <w:r w:rsidRPr="00F84E4F">
        <w:rPr>
          <w:rFonts w:ascii="Times New Roman" w:hAnsi="Times New Roman" w:cs="Times New Roman"/>
          <w:sz w:val="24"/>
          <w:szCs w:val="24"/>
        </w:rPr>
        <w:t>stravné výdavky k personálnym výdavkom na odborný personál (príspevok zamestnávateľa na stravné).</w:t>
      </w:r>
    </w:p>
    <w:p w:rsidR="00F84E4F" w:rsidRPr="00F84E4F" w:rsidRDefault="00F84E4F" w:rsidP="00F84E4F">
      <w:pPr>
        <w:jc w:val="both"/>
        <w:rPr>
          <w:rFonts w:ascii="Times New Roman" w:hAnsi="Times New Roman" w:cs="Times New Roman"/>
          <w:b/>
          <w:sz w:val="24"/>
          <w:szCs w:val="24"/>
        </w:rPr>
      </w:pPr>
    </w:p>
    <w:p w:rsidR="00F84E4F" w:rsidRPr="00F84E4F" w:rsidRDefault="00F84E4F" w:rsidP="00F84E4F">
      <w:pPr>
        <w:jc w:val="both"/>
        <w:rPr>
          <w:rFonts w:ascii="Times New Roman" w:hAnsi="Times New Roman" w:cs="Times New Roman"/>
          <w:b/>
          <w:sz w:val="24"/>
          <w:szCs w:val="24"/>
        </w:rPr>
      </w:pPr>
      <w:r w:rsidRPr="00F84E4F">
        <w:rPr>
          <w:rFonts w:ascii="Times New Roman" w:hAnsi="Times New Roman" w:cs="Times New Roman"/>
          <w:b/>
          <w:sz w:val="24"/>
          <w:szCs w:val="24"/>
        </w:rPr>
        <w:t>Neoprávnené výdavky pre žiadateľa:</w:t>
      </w:r>
    </w:p>
    <w:p w:rsidR="00F84E4F" w:rsidRPr="00F84E4F" w:rsidRDefault="00F84E4F" w:rsidP="00F84E4F">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F84E4F">
        <w:rPr>
          <w:rFonts w:ascii="Times New Roman" w:hAnsi="Times New Roman" w:cs="Times New Roman"/>
          <w:sz w:val="24"/>
          <w:szCs w:val="24"/>
        </w:rPr>
        <w:t>úroky z dlžných súm;</w:t>
      </w:r>
    </w:p>
    <w:p w:rsidR="00F84E4F" w:rsidRPr="00F84E4F" w:rsidRDefault="00F84E4F" w:rsidP="00F84E4F">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F84E4F">
        <w:rPr>
          <w:rFonts w:ascii="Times New Roman" w:hAnsi="Times New Roman" w:cs="Times New Roman"/>
          <w:sz w:val="24"/>
          <w:szCs w:val="24"/>
        </w:rPr>
        <w:t>nákup infraštruktúry</w:t>
      </w:r>
      <w:r w:rsidRPr="00F84E4F">
        <w:rPr>
          <w:rStyle w:val="Odkaznapoznmkupodiarou"/>
          <w:rFonts w:ascii="Times New Roman" w:hAnsi="Times New Roman" w:cs="Times New Roman"/>
          <w:sz w:val="24"/>
          <w:szCs w:val="24"/>
        </w:rPr>
        <w:footnoteReference w:id="11"/>
      </w:r>
      <w:r w:rsidRPr="00F84E4F">
        <w:rPr>
          <w:rFonts w:ascii="Times New Roman" w:hAnsi="Times New Roman" w:cs="Times New Roman"/>
          <w:sz w:val="24"/>
          <w:szCs w:val="24"/>
        </w:rPr>
        <w:t>, nehnuteľností a pozemkov;</w:t>
      </w:r>
    </w:p>
    <w:p w:rsidR="00F84E4F" w:rsidRPr="00F84E4F" w:rsidRDefault="00F84E4F" w:rsidP="00F84E4F">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F84E4F">
        <w:rPr>
          <w:rFonts w:ascii="Times New Roman" w:hAnsi="Times New Roman" w:cs="Times New Roman"/>
          <w:sz w:val="24"/>
          <w:szCs w:val="24"/>
          <w:lang w:val="sk-SK"/>
        </w:rPr>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F84E4F">
        <w:rPr>
          <w:rStyle w:val="Odkaznapoznmkupodiarou"/>
          <w:rFonts w:ascii="Times New Roman" w:hAnsi="Times New Roman" w:cs="Times New Roman"/>
          <w:sz w:val="24"/>
          <w:szCs w:val="24"/>
          <w:lang w:val="sk-SK"/>
        </w:rPr>
        <w:footnoteReference w:id="12"/>
      </w:r>
      <w:r w:rsidRPr="00F84E4F">
        <w:rPr>
          <w:rFonts w:ascii="Times New Roman" w:hAnsi="Times New Roman" w:cs="Times New Roman"/>
          <w:sz w:val="24"/>
          <w:szCs w:val="24"/>
          <w:lang w:val="sk-SK"/>
        </w:rPr>
        <w:t>;</w:t>
      </w:r>
    </w:p>
    <w:p w:rsidR="00F84E4F" w:rsidRPr="00F84E4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F84E4F">
        <w:rPr>
          <w:rFonts w:ascii="Times New Roman" w:hAnsi="Times New Roman" w:cs="Times New Roman"/>
          <w:sz w:val="24"/>
          <w:szCs w:val="24"/>
        </w:rPr>
        <w:t>výdavok bez priameho vzťahu k projektu;</w:t>
      </w:r>
    </w:p>
    <w:p w:rsidR="00F84E4F" w:rsidRPr="00F84E4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F84E4F">
        <w:rPr>
          <w:rFonts w:ascii="Times New Roman" w:hAnsi="Times New Roman" w:cs="Times New Roman"/>
          <w:sz w:val="24"/>
          <w:szCs w:val="24"/>
        </w:rPr>
        <w:t>výdavok v rozpore so záväznými právnymi predpismi EÚ a SR;</w:t>
      </w:r>
    </w:p>
    <w:p w:rsidR="00F84E4F" w:rsidRPr="00F84E4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F84E4F">
        <w:rPr>
          <w:rFonts w:ascii="Times New Roman" w:hAnsi="Times New Roman" w:cs="Times New Roman"/>
          <w:sz w:val="24"/>
          <w:szCs w:val="24"/>
        </w:rPr>
        <w:t>výdavok, ktorý nie je nevyhnutný k dosiahnutiu cieľov projektu;</w:t>
      </w:r>
    </w:p>
    <w:p w:rsidR="00F84E4F" w:rsidRPr="00F84E4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F84E4F">
        <w:rPr>
          <w:rFonts w:ascii="Times New Roman" w:hAnsi="Times New Roman" w:cs="Times New Roman"/>
          <w:sz w:val="24"/>
          <w:szCs w:val="24"/>
        </w:rPr>
        <w:t>výdavok, ktorý je zo strany prijímateľa nedostatočne odôvodnený, alebo preukázaný;</w:t>
      </w:r>
    </w:p>
    <w:p w:rsidR="00F84E4F" w:rsidRPr="00F84E4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F84E4F">
        <w:rPr>
          <w:rFonts w:ascii="Times New Roman" w:hAnsi="Times New Roman" w:cs="Times New Roman"/>
          <w:sz w:val="24"/>
          <w:szCs w:val="24"/>
        </w:rPr>
        <w:t>výdavok, ktorý prijímateľ dobrovoľne vynakladá na účely projektu, t. j. nad rozsah povinného spolufinancovania, resp. uzatvorenej zmluvy o NFP;</w:t>
      </w:r>
    </w:p>
    <w:p w:rsidR="00F84E4F" w:rsidRPr="00F84E4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F84E4F">
        <w:rPr>
          <w:rFonts w:ascii="Times New Roman" w:hAnsi="Times New Roman" w:cs="Times New Roman"/>
          <w:sz w:val="24"/>
          <w:szCs w:val="24"/>
        </w:rPr>
        <w:t>výdavok, ktorý vznikol pred počiatočným dátumom oprávnenosti výdavkov;</w:t>
      </w:r>
    </w:p>
    <w:p w:rsidR="00F84E4F" w:rsidRPr="00F84E4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F84E4F">
        <w:rPr>
          <w:rFonts w:ascii="Times New Roman" w:hAnsi="Times New Roman" w:cs="Times New Roman"/>
          <w:sz w:val="24"/>
          <w:szCs w:val="24"/>
        </w:rPr>
        <w:t>výdavok, ktorý vznikol po 31.12.2023;</w:t>
      </w:r>
    </w:p>
    <w:p w:rsidR="00F84E4F" w:rsidRPr="00F84E4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F84E4F">
        <w:rPr>
          <w:rFonts w:ascii="Times New Roman" w:hAnsi="Times New Roman" w:cs="Times New Roman"/>
          <w:sz w:val="24"/>
          <w:szCs w:val="24"/>
        </w:rPr>
        <w:t>výdavok na projekt s celkovým či prevažujúcim dopadom mimo cieľový región;</w:t>
      </w:r>
    </w:p>
    <w:p w:rsidR="00F84E4F" w:rsidRPr="00F84E4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F84E4F">
        <w:rPr>
          <w:rFonts w:ascii="Times New Roman" w:hAnsi="Times New Roman" w:cs="Times New Roman"/>
          <w:sz w:val="24"/>
          <w:szCs w:val="24"/>
        </w:rPr>
        <w:t>výdavok sankčného charakteru vrátane súvisiacich výdavkov (pokuty, penále, vrátane zmluvných, výdavky na trovy konania a pod.);</w:t>
      </w:r>
    </w:p>
    <w:p w:rsidR="00F84E4F" w:rsidRPr="00F84E4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F84E4F">
        <w:rPr>
          <w:rFonts w:ascii="Times New Roman" w:hAnsi="Times New Roman" w:cs="Times New Roman"/>
          <w:sz w:val="24"/>
          <w:szCs w:val="24"/>
        </w:rPr>
        <w:t>mimoriadny náklad (napr. manká a škody);</w:t>
      </w:r>
    </w:p>
    <w:p w:rsidR="00F84E4F" w:rsidRPr="00F84E4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F84E4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rsidR="00F84E4F" w:rsidRPr="00F84E4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F84E4F">
        <w:rPr>
          <w:rFonts w:ascii="Times New Roman" w:hAnsi="Times New Roman" w:cs="Times New Roman"/>
          <w:sz w:val="24"/>
          <w:szCs w:val="24"/>
        </w:rPr>
        <w:t>nepriame výdavky, ktoré prekročia vyzvaním stanovený percentuálny pomer z celkových oprávnených priamych výdavkov na projekt;</w:t>
      </w:r>
    </w:p>
    <w:p w:rsidR="00F84E4F" w:rsidRPr="00F84E4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F84E4F">
        <w:rPr>
          <w:rFonts w:ascii="Times New Roman" w:hAnsi="Times New Roman" w:cs="Times New Roman"/>
          <w:sz w:val="24"/>
          <w:szCs w:val="24"/>
        </w:rPr>
        <w:t>výdavok, ktorý bol uplatnený na základe zmenených prvotných dokumentov (napr. prezenčná listina, pracovné výkazy a pod.);</w:t>
      </w:r>
    </w:p>
    <w:p w:rsidR="00F84E4F" w:rsidRPr="00F84E4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F84E4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rsidR="00F84E4F" w:rsidRPr="00F84E4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F84E4F">
        <w:rPr>
          <w:rFonts w:ascii="Times New Roman" w:hAnsi="Times New Roman" w:cs="Times New Roman"/>
          <w:sz w:val="24"/>
          <w:szCs w:val="24"/>
        </w:rPr>
        <w:t>kladný rozdiel medzi reálne vzniknutými nákladmi prijímateľa/užívateľa a poskytnutými príspevkami/dotáciami z verejných zdrojov, aj kumulovane;</w:t>
      </w:r>
    </w:p>
    <w:p w:rsidR="00F84E4F" w:rsidRPr="00F84E4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F84E4F">
        <w:rPr>
          <w:rFonts w:ascii="Times New Roman" w:hAnsi="Times New Roman" w:cs="Times New Roman"/>
          <w:sz w:val="24"/>
          <w:szCs w:val="24"/>
        </w:rPr>
        <w:t>priame dane</w:t>
      </w:r>
      <w:r w:rsidRPr="00F84E4F">
        <w:rPr>
          <w:rStyle w:val="Odkaznapoznmkupodiarou"/>
          <w:rFonts w:ascii="Times New Roman" w:hAnsi="Times New Roman" w:cs="Times New Roman"/>
          <w:sz w:val="24"/>
          <w:szCs w:val="24"/>
        </w:rPr>
        <w:footnoteReference w:id="13"/>
      </w:r>
      <w:r w:rsidRPr="00F84E4F">
        <w:rPr>
          <w:rFonts w:ascii="Times New Roman" w:hAnsi="Times New Roman" w:cs="Times New Roman"/>
          <w:sz w:val="24"/>
          <w:szCs w:val="24"/>
        </w:rPr>
        <w:t xml:space="preserve"> (napr. daň z nehnuteľnosti, daň z motorových vozidiel a pod.);</w:t>
      </w:r>
    </w:p>
    <w:p w:rsidR="00F84E4F" w:rsidRPr="00F84E4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F84E4F">
        <w:rPr>
          <w:rFonts w:ascii="Times New Roman" w:hAnsi="Times New Roman" w:cs="Times New Roman"/>
          <w:sz w:val="24"/>
          <w:szCs w:val="24"/>
        </w:rPr>
        <w:t>finančný prenájom a operatívny nájom;</w:t>
      </w:r>
    </w:p>
    <w:p w:rsidR="00F84E4F" w:rsidRPr="00F84E4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F84E4F">
        <w:rPr>
          <w:rFonts w:ascii="Times New Roman" w:hAnsi="Times New Roman" w:cs="Times New Roman"/>
          <w:sz w:val="24"/>
          <w:szCs w:val="24"/>
        </w:rPr>
        <w:t>výdavky na opravu a údržbu;</w:t>
      </w:r>
    </w:p>
    <w:p w:rsidR="00F84E4F" w:rsidRPr="00F84E4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F84E4F">
        <w:rPr>
          <w:rFonts w:ascii="Times New Roman" w:hAnsi="Times New Roman" w:cs="Times New Roman"/>
          <w:sz w:val="24"/>
          <w:szCs w:val="24"/>
        </w:rPr>
        <w:t>výdavky na obstaranie motorového vozidla;</w:t>
      </w:r>
    </w:p>
    <w:p w:rsidR="00F84E4F" w:rsidRPr="00F84E4F" w:rsidRDefault="00F84E4F" w:rsidP="00F84E4F">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F84E4F">
        <w:rPr>
          <w:rFonts w:ascii="Times New Roman" w:hAnsi="Times New Roman" w:cs="Times New Roman"/>
          <w:color w:val="000000" w:themeColor="text1"/>
          <w:sz w:val="24"/>
          <w:szCs w:val="24"/>
        </w:rPr>
        <w:t xml:space="preserve"> výdavky na tvorbu sociálneho fondu.</w:t>
      </w:r>
    </w:p>
    <w:p w:rsidR="00534885" w:rsidRPr="00071D07" w:rsidRDefault="00F84E4F" w:rsidP="00F84E4F">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534885" w:rsidRPr="00071D07" w:rsidSect="00071D07">
      <w:headerReference w:type="defaul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565" w:rsidRDefault="00647565" w:rsidP="00534853">
      <w:pPr>
        <w:spacing w:after="0" w:line="240" w:lineRule="auto"/>
      </w:pPr>
      <w:r>
        <w:separator/>
      </w:r>
    </w:p>
  </w:endnote>
  <w:endnote w:type="continuationSeparator" w:id="0">
    <w:p w:rsidR="00647565" w:rsidRDefault="00647565" w:rsidP="0053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565" w:rsidRDefault="00647565" w:rsidP="00534853">
      <w:pPr>
        <w:spacing w:after="0" w:line="240" w:lineRule="auto"/>
      </w:pPr>
      <w:r>
        <w:separator/>
      </w:r>
    </w:p>
  </w:footnote>
  <w:footnote w:type="continuationSeparator" w:id="0">
    <w:p w:rsidR="00647565" w:rsidRDefault="00647565" w:rsidP="00534853">
      <w:pPr>
        <w:spacing w:after="0" w:line="240" w:lineRule="auto"/>
      </w:pPr>
      <w:r>
        <w:continuationSeparator/>
      </w:r>
    </w:p>
  </w:footnote>
  <w:footnote w:id="1">
    <w:p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 zmysle Príručky pre žiadateľa o nenávratný finančný príspevok OP EVS v platnom znení je žiadateľ povinný dodržať limity na nepriame výdavky vychádzajú z percentuálneho pomeru dodávok na priame výdavky k celkovým priamym výdavkom projektu (do celkových priamych výdavkov sa nezapočítava položka Rezerva na nepredvídané výdavky):</w:t>
      </w:r>
    </w:p>
    <w:p w:rsidR="00F84E4F" w:rsidRPr="00F84E4F" w:rsidRDefault="00F84E4F" w:rsidP="00F84E4F">
      <w:pPr>
        <w:pStyle w:val="Textpoznmkypodiarou"/>
        <w:jc w:val="both"/>
        <w:rPr>
          <w:rFonts w:ascii="Times New Roman" w:hAnsi="Times New Roman" w:cs="Times New Roman"/>
          <w:sz w:val="18"/>
          <w:szCs w:val="18"/>
        </w:rPr>
      </w:pPr>
      <w:r w:rsidRPr="00F84E4F">
        <w:rPr>
          <w:rFonts w:ascii="Times New Roman" w:hAnsi="Times New Roman" w:cs="Times New Roman"/>
          <w:sz w:val="18"/>
          <w:szCs w:val="18"/>
        </w:rPr>
        <w:t>a) ak je súčasťou priamych výdavkov dodávka do 30% vrátane = nepriame výdavky môžu byť max. 20% z celkových priamych výdavkov;</w:t>
      </w:r>
    </w:p>
    <w:p w:rsidR="00F84E4F" w:rsidRPr="00F84E4F" w:rsidRDefault="00F84E4F" w:rsidP="00F84E4F">
      <w:pPr>
        <w:pStyle w:val="Textpoznmkypodiarou"/>
        <w:jc w:val="both"/>
        <w:rPr>
          <w:rFonts w:ascii="Times New Roman" w:hAnsi="Times New Roman" w:cs="Times New Roman"/>
          <w:sz w:val="18"/>
          <w:szCs w:val="18"/>
        </w:rPr>
      </w:pPr>
      <w:r w:rsidRPr="00F84E4F">
        <w:rPr>
          <w:rFonts w:ascii="Times New Roman" w:hAnsi="Times New Roman" w:cs="Times New Roman"/>
          <w:sz w:val="18"/>
          <w:szCs w:val="18"/>
        </w:rPr>
        <w:t>b) ak je súčasťou priamych výdavkov dodávka od 30% do 60 % vrátane = nepriame výdavky môžu byť max. 15% z celkových priamych výdavkov;</w:t>
      </w:r>
    </w:p>
    <w:p w:rsidR="00F84E4F" w:rsidRPr="00F84E4F" w:rsidRDefault="00F84E4F" w:rsidP="00F84E4F">
      <w:pPr>
        <w:pStyle w:val="Textpoznmkypodiarou"/>
        <w:jc w:val="both"/>
        <w:rPr>
          <w:rFonts w:ascii="Times New Roman" w:hAnsi="Times New Roman" w:cs="Times New Roman"/>
          <w:sz w:val="18"/>
          <w:szCs w:val="18"/>
        </w:rPr>
      </w:pPr>
      <w:r w:rsidRPr="00F84E4F">
        <w:rPr>
          <w:rFonts w:ascii="Times New Roman" w:hAnsi="Times New Roman" w:cs="Times New Roman"/>
          <w:sz w:val="18"/>
          <w:szCs w:val="18"/>
        </w:rPr>
        <w:t>c) ak je súčasťou priamych výdavkov dodávka nad 60% = nepriame výdavky môžu byť max. 10% z celkových priamych výdavkov.</w:t>
      </w:r>
    </w:p>
  </w:footnote>
  <w:footnote w:id="2">
    <w:p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posledných 12 mesiacov)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3">
    <w:p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Za oprávnené výdavky sa považujú aj personálne výdavky priamo súvisiace s riadením projektu, ak vznikli v oprávnenom období od vyhlásenia vyzvania. Uvedené platí v prípade vydania rozhodnutia o schválení žiadosti o poskytnutie NFP.</w:t>
      </w:r>
    </w:p>
  </w:footnote>
  <w:footnote w:id="4">
    <w:p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Každú z uvedených pozícii je možné vykonávať výlučne na základe pracovnoprávneho vzťahu (pracovný pomer, dohody o prácach vykonávaných mimo pracovného pomeru) alebo obdobného pracovného vzťahu (štátnozamestnanecký pomer, výkon práce vo verejnom záujme).</w:t>
      </w:r>
    </w:p>
  </w:footnote>
  <w:footnote w:id="5">
    <w:p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6">
    <w:p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Obstaranie zariadenia/vybavenia musí byť prepojené s podpornými aktivitami projektu, t. j. musí byť preukázané využitie v rámci projektu (len samotné obstaranie zariadenia/vybavenia bez prepojenia a využitia v rámci projektu je neakceptovateľné), čo žiadateľ jasne popíše v opise projektu/“value for money“. Uvedená zásada sa aplikuje aj v prípade majetku, ktorý nie je vykázaný ako dlhodobý hmotný/nehmotný majetok (napr. počítač, dataprojektor, rôzne pomôcky).</w:t>
      </w:r>
    </w:p>
  </w:footnote>
  <w:footnote w:id="7">
    <w:p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Obstaranie zariadenia/vybavenia musí byť prepojené s odbornými aktivitami projektu, t. j. musí byť preukázané využitie v rámci projektu (len samotné obstaranie zariadenia/vybavenia bez prepojenia a využitia v rámci projektu je neakceptovateľné), čo žiadateľ jasne popíše v opise projektu/“value for money“. Uvedená zásada sa aplikuje aj v prípade majetku, ktorý nie je vykázaný ako dlhodobý hmotný/nehmotný majetok (napr. počítač, dataprojektor, rôzne pomôcky).</w:t>
      </w:r>
    </w:p>
  </w:footnote>
  <w:footnote w:id="8">
    <w:p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posledných 12 mesiacov)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9">
    <w:p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Výdavky vzniknuté výlučne na základe pracovnoprávneho vzťahu (pracovný pomer, dohody o prácach vykonávaných mimo pracovného pomeru) alebo obdobného pracovného vzťahu (štátnozamestnanecký pomer, výkon práce vo verejnom záujme).</w:t>
      </w:r>
    </w:p>
  </w:footnote>
  <w:footnote w:id="10">
    <w:p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11">
    <w:p w:rsidR="00F84E4F" w:rsidRPr="00F84E4F" w:rsidRDefault="00F84E4F" w:rsidP="00F84E4F">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rsidR="00F84E4F" w:rsidRPr="00F84E4F" w:rsidRDefault="00F84E4F" w:rsidP="00F84E4F">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rsidR="00F84E4F" w:rsidRPr="00F84E4F" w:rsidRDefault="00F84E4F" w:rsidP="00F84E4F">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rsidR="00F84E4F" w:rsidRPr="00F84E4F" w:rsidRDefault="00F84E4F" w:rsidP="00F84E4F">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rsidR="00F84E4F" w:rsidRPr="00F84E4F" w:rsidRDefault="00F84E4F" w:rsidP="00F84E4F">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12">
    <w:p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Uvedené môže mať vplyv na správne určenie finančnej medzery pri projektoch generujúcich príjmy.</w:t>
      </w:r>
    </w:p>
  </w:footnote>
  <w:footnote w:id="13">
    <w:p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A0A" w:rsidRDefault="00533A0A" w:rsidP="00534853">
    <w:pPr>
      <w:pStyle w:val="Hlavika"/>
      <w:jc w:val="right"/>
      <w:rPr>
        <w:rFonts w:cstheme="minorHAnsi"/>
      </w:rPr>
    </w:pPr>
  </w:p>
  <w:p w:rsidR="00071D07" w:rsidRDefault="00071D07" w:rsidP="00071D07">
    <w:pPr>
      <w:pStyle w:val="Hlavika"/>
    </w:pPr>
    <w:r>
      <w:rPr>
        <w:noProof/>
      </w:rPr>
      <w:fldChar w:fldCharType="begin"/>
    </w:r>
    <w:r>
      <w:rPr>
        <w:noProof/>
      </w:rPr>
      <w:instrText xml:space="preserve"> INCLUDEPICTURE  "cid:5CD4AC02-FF01-41FA-A739-1164116CB826" \* MERGEFORMATINET </w:instrText>
    </w:r>
    <w:r>
      <w:rPr>
        <w:noProof/>
      </w:rPr>
      <w:fldChar w:fldCharType="separate"/>
    </w:r>
    <w:r>
      <w:rPr>
        <w:noProof/>
      </w:rPr>
      <w:fldChar w:fldCharType="begin"/>
    </w:r>
    <w:r>
      <w:rPr>
        <w:noProof/>
      </w:rPr>
      <w:instrText xml:space="preserve"> INCLUDEPICTURE  "cid:5CD4AC02-FF01-41FA-A739-1164116CB826" \* MERGEFORMATINET </w:instrText>
    </w:r>
    <w:r>
      <w:rPr>
        <w:noProof/>
      </w:rPr>
      <w:fldChar w:fldCharType="separate"/>
    </w:r>
    <w:r w:rsidR="00647565">
      <w:rPr>
        <w:noProof/>
      </w:rPr>
      <w:fldChar w:fldCharType="begin"/>
    </w:r>
    <w:r w:rsidR="00647565">
      <w:rPr>
        <w:noProof/>
      </w:rPr>
      <w:instrText xml:space="preserve"> INCLUDEPICTURE  "cid:5CD4AC02-FF01-41FA-A739-1164116CB826" \* MERGEFORMATINET </w:instrText>
    </w:r>
    <w:r w:rsidR="00647565">
      <w:rPr>
        <w:noProof/>
      </w:rPr>
      <w:fldChar w:fldCharType="separate"/>
    </w:r>
    <w:r w:rsidR="009B2AF1">
      <w:rPr>
        <w:noProof/>
      </w:rPr>
      <w:fldChar w:fldCharType="begin"/>
    </w:r>
    <w:r w:rsidR="009B2AF1">
      <w:rPr>
        <w:noProof/>
      </w:rPr>
      <w:instrText xml:space="preserve"> </w:instrText>
    </w:r>
    <w:r w:rsidR="009B2AF1">
      <w:rPr>
        <w:noProof/>
      </w:rPr>
      <w:instrText>INCLUDEPICTURE  "c</w:instrText>
    </w:r>
    <w:r w:rsidR="009B2AF1">
      <w:rPr>
        <w:noProof/>
      </w:rPr>
      <w:instrText>id:5CD4AC02-FF01-41FA-A739-1164116CB826" \* MERGEFORMATINET</w:instrText>
    </w:r>
    <w:r w:rsidR="009B2AF1">
      <w:rPr>
        <w:noProof/>
      </w:rPr>
      <w:instrText xml:space="preserve"> </w:instrText>
    </w:r>
    <w:r w:rsidR="009B2AF1">
      <w:rPr>
        <w:noProof/>
      </w:rPr>
      <w:fldChar w:fldCharType="separate"/>
    </w:r>
    <w:r w:rsidR="009B2AF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76.5pt;visibility:visible">
          <v:imagedata r:id="rId1" r:href="rId2"/>
        </v:shape>
      </w:pict>
    </w:r>
    <w:r w:rsidR="009B2AF1">
      <w:rPr>
        <w:noProof/>
      </w:rPr>
      <w:fldChar w:fldCharType="end"/>
    </w:r>
    <w:r w:rsidR="00647565">
      <w:rPr>
        <w:noProof/>
      </w:rPr>
      <w:fldChar w:fldCharType="end"/>
    </w:r>
    <w:r>
      <w:rPr>
        <w:noProof/>
      </w:rPr>
      <w:fldChar w:fldCharType="end"/>
    </w:r>
    <w:r>
      <w:rPr>
        <w:noProof/>
      </w:rPr>
      <w:fldChar w:fldCharType="end"/>
    </w:r>
  </w:p>
  <w:p w:rsidR="00071D07" w:rsidRDefault="00071D07" w:rsidP="00071D07">
    <w:pPr>
      <w:pStyle w:val="Hlavika"/>
      <w:jc w:val="right"/>
    </w:pPr>
    <w:r>
      <w:t xml:space="preserve">Príloha č. 9 vyzvania </w:t>
    </w:r>
  </w:p>
  <w:p w:rsidR="00AA3E27" w:rsidRPr="00AA3E27" w:rsidRDefault="00AA3E27" w:rsidP="00071D07">
    <w:pPr>
      <w:pStyle w:val="Hlavika"/>
      <w:tabs>
        <w:tab w:val="clear" w:pos="4536"/>
        <w:tab w:val="center" w:pos="0"/>
      </w:tabs>
      <w:rPr>
        <w:rFonts w:ascii="Verdana" w:hAnsi="Verdana"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BB"/>
    <w:rsid w:val="00002B12"/>
    <w:rsid w:val="000073D5"/>
    <w:rsid w:val="00042028"/>
    <w:rsid w:val="000430D6"/>
    <w:rsid w:val="000558C8"/>
    <w:rsid w:val="00064C06"/>
    <w:rsid w:val="00065B51"/>
    <w:rsid w:val="00071D07"/>
    <w:rsid w:val="00075F61"/>
    <w:rsid w:val="00145C45"/>
    <w:rsid w:val="00147A08"/>
    <w:rsid w:val="00157CF3"/>
    <w:rsid w:val="00164B44"/>
    <w:rsid w:val="00185592"/>
    <w:rsid w:val="001B2321"/>
    <w:rsid w:val="001E1500"/>
    <w:rsid w:val="001E56DC"/>
    <w:rsid w:val="001F7F93"/>
    <w:rsid w:val="0022546D"/>
    <w:rsid w:val="00246179"/>
    <w:rsid w:val="00267469"/>
    <w:rsid w:val="002768E3"/>
    <w:rsid w:val="00291CC9"/>
    <w:rsid w:val="002A14EF"/>
    <w:rsid w:val="002E18D5"/>
    <w:rsid w:val="002E4F14"/>
    <w:rsid w:val="002F42A4"/>
    <w:rsid w:val="00304A63"/>
    <w:rsid w:val="0031442D"/>
    <w:rsid w:val="00340E09"/>
    <w:rsid w:val="0036097B"/>
    <w:rsid w:val="00363D6D"/>
    <w:rsid w:val="00387A49"/>
    <w:rsid w:val="003952B7"/>
    <w:rsid w:val="003D0AEC"/>
    <w:rsid w:val="003E0CEA"/>
    <w:rsid w:val="00400C9D"/>
    <w:rsid w:val="004054A8"/>
    <w:rsid w:val="004701DE"/>
    <w:rsid w:val="00470916"/>
    <w:rsid w:val="004810F8"/>
    <w:rsid w:val="004819A5"/>
    <w:rsid w:val="00484B35"/>
    <w:rsid w:val="004966D8"/>
    <w:rsid w:val="00497BC2"/>
    <w:rsid w:val="004B735A"/>
    <w:rsid w:val="004B7CD5"/>
    <w:rsid w:val="004D40C9"/>
    <w:rsid w:val="004E0E80"/>
    <w:rsid w:val="004E29A8"/>
    <w:rsid w:val="004F23B9"/>
    <w:rsid w:val="00520107"/>
    <w:rsid w:val="00527E78"/>
    <w:rsid w:val="00533A0A"/>
    <w:rsid w:val="00534853"/>
    <w:rsid w:val="00534885"/>
    <w:rsid w:val="0055270C"/>
    <w:rsid w:val="00555C2C"/>
    <w:rsid w:val="00576A4B"/>
    <w:rsid w:val="005B5A97"/>
    <w:rsid w:val="005C42CC"/>
    <w:rsid w:val="005C4DAC"/>
    <w:rsid w:val="005F3C05"/>
    <w:rsid w:val="0062432B"/>
    <w:rsid w:val="006442CB"/>
    <w:rsid w:val="00647565"/>
    <w:rsid w:val="00650333"/>
    <w:rsid w:val="00650B03"/>
    <w:rsid w:val="00661E30"/>
    <w:rsid w:val="00662DC9"/>
    <w:rsid w:val="00664516"/>
    <w:rsid w:val="0067145E"/>
    <w:rsid w:val="006731C0"/>
    <w:rsid w:val="00675A8A"/>
    <w:rsid w:val="00676CB1"/>
    <w:rsid w:val="00676CBA"/>
    <w:rsid w:val="0067734C"/>
    <w:rsid w:val="00684564"/>
    <w:rsid w:val="006868C4"/>
    <w:rsid w:val="00695CA7"/>
    <w:rsid w:val="006A15C0"/>
    <w:rsid w:val="006B3DBD"/>
    <w:rsid w:val="006C58EC"/>
    <w:rsid w:val="006D1692"/>
    <w:rsid w:val="006D558E"/>
    <w:rsid w:val="006D7EC9"/>
    <w:rsid w:val="006E7E09"/>
    <w:rsid w:val="007103E9"/>
    <w:rsid w:val="007242A5"/>
    <w:rsid w:val="00736499"/>
    <w:rsid w:val="007674B4"/>
    <w:rsid w:val="0079554E"/>
    <w:rsid w:val="007979C6"/>
    <w:rsid w:val="007A0709"/>
    <w:rsid w:val="007B3B82"/>
    <w:rsid w:val="007C5FD0"/>
    <w:rsid w:val="007E2EA8"/>
    <w:rsid w:val="007E316E"/>
    <w:rsid w:val="007E58BC"/>
    <w:rsid w:val="007F0E12"/>
    <w:rsid w:val="007F54D7"/>
    <w:rsid w:val="008462A7"/>
    <w:rsid w:val="0085269F"/>
    <w:rsid w:val="00852EB8"/>
    <w:rsid w:val="00856FB7"/>
    <w:rsid w:val="00857013"/>
    <w:rsid w:val="00896BF8"/>
    <w:rsid w:val="008B76C9"/>
    <w:rsid w:val="008C38F7"/>
    <w:rsid w:val="008D76C2"/>
    <w:rsid w:val="008E078A"/>
    <w:rsid w:val="008E7ABB"/>
    <w:rsid w:val="0091770E"/>
    <w:rsid w:val="00921BA5"/>
    <w:rsid w:val="009358F2"/>
    <w:rsid w:val="009360C6"/>
    <w:rsid w:val="00954098"/>
    <w:rsid w:val="00965037"/>
    <w:rsid w:val="009670D2"/>
    <w:rsid w:val="00970780"/>
    <w:rsid w:val="00973394"/>
    <w:rsid w:val="00976485"/>
    <w:rsid w:val="0098387E"/>
    <w:rsid w:val="009B2AF1"/>
    <w:rsid w:val="009B3CA0"/>
    <w:rsid w:val="009C57BB"/>
    <w:rsid w:val="00A02D5C"/>
    <w:rsid w:val="00A140F5"/>
    <w:rsid w:val="00A16D4A"/>
    <w:rsid w:val="00A171BA"/>
    <w:rsid w:val="00A24E16"/>
    <w:rsid w:val="00A26868"/>
    <w:rsid w:val="00A37C3A"/>
    <w:rsid w:val="00A7207A"/>
    <w:rsid w:val="00A77E32"/>
    <w:rsid w:val="00A814A6"/>
    <w:rsid w:val="00AA3E27"/>
    <w:rsid w:val="00AB7496"/>
    <w:rsid w:val="00AE5181"/>
    <w:rsid w:val="00AF3264"/>
    <w:rsid w:val="00B05E57"/>
    <w:rsid w:val="00B76FA9"/>
    <w:rsid w:val="00B80EB5"/>
    <w:rsid w:val="00BA480B"/>
    <w:rsid w:val="00BB1545"/>
    <w:rsid w:val="00BB4005"/>
    <w:rsid w:val="00BD35DB"/>
    <w:rsid w:val="00BD5425"/>
    <w:rsid w:val="00BF1C1B"/>
    <w:rsid w:val="00BF4E87"/>
    <w:rsid w:val="00C029F4"/>
    <w:rsid w:val="00C22CB5"/>
    <w:rsid w:val="00C31123"/>
    <w:rsid w:val="00C434E7"/>
    <w:rsid w:val="00C451F4"/>
    <w:rsid w:val="00C455F8"/>
    <w:rsid w:val="00C80F8B"/>
    <w:rsid w:val="00C84C0D"/>
    <w:rsid w:val="00CA2F4A"/>
    <w:rsid w:val="00CB2EC3"/>
    <w:rsid w:val="00CE3ECA"/>
    <w:rsid w:val="00CE6D4F"/>
    <w:rsid w:val="00CF2AC0"/>
    <w:rsid w:val="00D5301C"/>
    <w:rsid w:val="00D62ACA"/>
    <w:rsid w:val="00D65DBF"/>
    <w:rsid w:val="00D72438"/>
    <w:rsid w:val="00D74028"/>
    <w:rsid w:val="00D871EC"/>
    <w:rsid w:val="00DA1C04"/>
    <w:rsid w:val="00DB6F0D"/>
    <w:rsid w:val="00DC168A"/>
    <w:rsid w:val="00DC7683"/>
    <w:rsid w:val="00DD284F"/>
    <w:rsid w:val="00DE2740"/>
    <w:rsid w:val="00E32DDD"/>
    <w:rsid w:val="00E40A31"/>
    <w:rsid w:val="00E62BAE"/>
    <w:rsid w:val="00E86947"/>
    <w:rsid w:val="00ED0162"/>
    <w:rsid w:val="00EE40D6"/>
    <w:rsid w:val="00EF7DBE"/>
    <w:rsid w:val="00F04D21"/>
    <w:rsid w:val="00F118FE"/>
    <w:rsid w:val="00F15FD8"/>
    <w:rsid w:val="00F344FA"/>
    <w:rsid w:val="00F43871"/>
    <w:rsid w:val="00F443AD"/>
    <w:rsid w:val="00F55083"/>
    <w:rsid w:val="00F57D1A"/>
    <w:rsid w:val="00F60DE9"/>
    <w:rsid w:val="00F64F77"/>
    <w:rsid w:val="00F84E4F"/>
    <w:rsid w:val="00F94D7C"/>
    <w:rsid w:val="00FA65E0"/>
    <w:rsid w:val="00FB2567"/>
    <w:rsid w:val="00FC047F"/>
    <w:rsid w:val="00FD0401"/>
    <w:rsid w:val="00FD13BE"/>
    <w:rsid w:val="00FE56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8A0C562F-90FD-497F-B840-4A70CB92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semiHidden/>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DAEB3-0CF4-4EDB-BE73-3D26330337BB}">
  <ds:schemaRef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3.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09AF22-464A-42FA-8CD9-EE6C65BF1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935</Words>
  <Characters>5333</Characters>
  <Application>Microsoft Office Word</Application>
  <DocSecurity>4</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Slavomír Gajarský</dc:creator>
  <cp:keywords/>
  <dc:description/>
  <cp:lastModifiedBy>Ivana Nittmannová</cp:lastModifiedBy>
  <cp:revision>2</cp:revision>
  <cp:lastPrinted>2016-08-24T11:32:00Z</cp:lastPrinted>
  <dcterms:created xsi:type="dcterms:W3CDTF">2017-03-24T09:56:00Z</dcterms:created>
  <dcterms:modified xsi:type="dcterms:W3CDTF">2017-03-24T09:56:00Z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