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6B3EFA7F" w14:textId="77777777" w:rsidR="00622CE0" w:rsidRPr="002857B8" w:rsidRDefault="00622CE0" w:rsidP="00622CE0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-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A1CB7CB" w14:textId="77777777" w:rsidR="00622CE0" w:rsidRPr="002857B8" w:rsidRDefault="00622CE0" w:rsidP="00622CE0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 NFP predložených v rám</w:t>
      </w:r>
      <w:bookmarkStart w:id="0" w:name="_GoBack"/>
      <w:bookmarkEnd w:id="0"/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ci</w:t>
      </w:r>
    </w:p>
    <w:p w14:paraId="6AC3E90B" w14:textId="77777777" w:rsidR="00622CE0" w:rsidRPr="002857B8" w:rsidRDefault="00622CE0" w:rsidP="00622CE0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78D04653" w14:textId="77777777" w:rsidR="00622CE0" w:rsidRPr="002857B8" w:rsidRDefault="00622CE0" w:rsidP="00622CE0">
      <w:pPr>
        <w:pStyle w:val="Zkladntext0"/>
        <w:ind w:left="1925" w:right="1640"/>
        <w:jc w:val="center"/>
        <w:rPr>
          <w:rFonts w:ascii="Verdana" w:hAnsi="Verdana" w:cs="Arial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</w:t>
      </w:r>
      <w:r w:rsidRPr="002857B8">
        <w:rPr>
          <w:rFonts w:ascii="Verdana" w:hAnsi="Verdana" w:cs="Times New Roman"/>
          <w:b/>
          <w:color w:val="auto"/>
          <w:sz w:val="20"/>
          <w:szCs w:val="20"/>
          <w:lang w:val="sk-SK"/>
        </w:rPr>
        <w:t>2</w:t>
      </w: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 – dopytovo</w:t>
      </w:r>
      <w:r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>- orientované projekty</w:t>
      </w:r>
    </w:p>
    <w:p w14:paraId="6926DD9A" w14:textId="77777777" w:rsidR="00622CE0" w:rsidRPr="002857B8" w:rsidRDefault="00622CE0" w:rsidP="00622CE0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8"/>
        <w:gridCol w:w="2644"/>
        <w:gridCol w:w="4723"/>
        <w:gridCol w:w="1650"/>
        <w:gridCol w:w="4467"/>
      </w:tblGrid>
      <w:tr w:rsidR="00622CE0" w:rsidRPr="002857B8" w14:paraId="766CDA62" w14:textId="77777777" w:rsidTr="00A93490">
        <w:trPr>
          <w:trHeight w:hRule="exact" w:val="805"/>
        </w:trPr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5C1A" w14:textId="77777777" w:rsidR="00622CE0" w:rsidRPr="002857B8" w:rsidRDefault="00622CE0" w:rsidP="00A93490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proofErr w:type="spellStart"/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</w:t>
            </w:r>
            <w:proofErr w:type="spellEnd"/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.</w:t>
            </w:r>
          </w:p>
        </w:tc>
        <w:tc>
          <w:tcPr>
            <w:tcW w:w="9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A0E49" w14:textId="77777777" w:rsidR="00622CE0" w:rsidRPr="002857B8" w:rsidRDefault="00622CE0" w:rsidP="00A93490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16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2F33E" w14:textId="77777777" w:rsidR="00622CE0" w:rsidRPr="002857B8" w:rsidRDefault="00622CE0" w:rsidP="00A93490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5E6A5A94" w14:textId="77777777" w:rsidR="00622CE0" w:rsidRPr="002857B8" w:rsidRDefault="00622CE0" w:rsidP="00A93490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1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21BD6D" w14:textId="77777777" w:rsidR="00622CE0" w:rsidRPr="002857B8" w:rsidRDefault="00622CE0" w:rsidP="00A93490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622CE0" w:rsidRPr="002857B8" w14:paraId="29751B10" w14:textId="77777777" w:rsidTr="00A93490">
        <w:trPr>
          <w:trHeight w:hRule="exact" w:val="436"/>
        </w:trPr>
        <w:tc>
          <w:tcPr>
            <w:tcW w:w="17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4902CEFF" w14:textId="77777777" w:rsidR="00622CE0" w:rsidRPr="002857B8" w:rsidRDefault="00622CE0" w:rsidP="00A93490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4828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CBEDF9" w14:textId="77777777" w:rsidR="00622CE0" w:rsidRPr="002857B8" w:rsidRDefault="00622CE0" w:rsidP="00A93490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 cieľom a výsledkom OP EVS a PO 2</w:t>
            </w:r>
          </w:p>
        </w:tc>
      </w:tr>
      <w:tr w:rsidR="00622CE0" w:rsidRPr="002857B8" w14:paraId="4E744ACE" w14:textId="77777777" w:rsidTr="00A93490">
        <w:trPr>
          <w:trHeight w:hRule="exact" w:val="1303"/>
        </w:trPr>
        <w:tc>
          <w:tcPr>
            <w:tcW w:w="17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BF1BC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1.1</w:t>
            </w:r>
          </w:p>
        </w:tc>
        <w:tc>
          <w:tcPr>
            <w:tcW w:w="94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5956042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1691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AAF33" w14:textId="77777777" w:rsidR="00622CE0" w:rsidRPr="002857B8" w:rsidRDefault="00622CE0" w:rsidP="00A93490">
            <w:pPr>
              <w:pStyle w:val="TableParagraph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súlad projektu s programovou stratégiou OP EVS, prioritnou osou č. 2 (PO 2) – Zefektívnený súdny systém a zvýšená vymáhateľnosť práva, </w:t>
            </w:r>
            <w:proofErr w:type="spellStart"/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t.j</w:t>
            </w:r>
            <w:proofErr w:type="spellEnd"/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. súlad projektu so špecifickými cieľmi, oprávnenými aktivitami a očakávanými výsledkami  stanovenými výzvou. 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00E97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77CB99C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6E947CC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– aktivity projektu sú v súlade s programovou stratégiou OP EVS stanovenou výzvou.</w:t>
            </w:r>
          </w:p>
        </w:tc>
      </w:tr>
      <w:tr w:rsidR="00622CE0" w:rsidRPr="002857B8" w14:paraId="5A8BBEFB" w14:textId="77777777" w:rsidTr="00A93490">
        <w:trPr>
          <w:trHeight w:hRule="exact" w:val="1606"/>
        </w:trPr>
        <w:tc>
          <w:tcPr>
            <w:tcW w:w="17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697AD" w14:textId="77777777" w:rsidR="00622CE0" w:rsidRPr="002857B8" w:rsidRDefault="00622CE0" w:rsidP="00A93490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94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0D5B5B2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82C14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591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FE0DE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5528A2D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– aktivity projektu nie sú v súlade s programovou stratégiou OP EVS stanovenou výzvou</w:t>
            </w:r>
          </w:p>
        </w:tc>
      </w:tr>
      <w:tr w:rsidR="00622CE0" w:rsidRPr="002857B8" w14:paraId="5F88BEB2" w14:textId="77777777" w:rsidTr="00A93490">
        <w:trPr>
          <w:trHeight w:val="1614"/>
        </w:trPr>
        <w:tc>
          <w:tcPr>
            <w:tcW w:w="172" w:type="pct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A8CD5" w14:textId="77777777" w:rsidR="00622CE0" w:rsidRPr="002857B8" w:rsidRDefault="00622CE0" w:rsidP="00A9349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1.2 </w:t>
            </w:r>
          </w:p>
          <w:p w14:paraId="0169A591" w14:textId="77777777" w:rsidR="00622CE0" w:rsidRPr="002857B8" w:rsidRDefault="00622CE0" w:rsidP="00A93490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947" w:type="pct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4D016B84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Súlad projektu s HP </w:t>
            </w:r>
            <w:r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UR</w:t>
            </w:r>
          </w:p>
        </w:tc>
        <w:tc>
          <w:tcPr>
            <w:tcW w:w="1691" w:type="pct"/>
            <w:vMerge w:val="restart"/>
            <w:tcBorders>
              <w:top w:val="single" w:sz="6" w:space="0" w:color="auto"/>
            </w:tcBorders>
            <w:vAlign w:val="center"/>
          </w:tcPr>
          <w:p w14:paraId="4A867780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Posudzuje sa súlad aktivít projektu s cieľmi environmentálneho aspektu (podpora prechodu na nízko uhlíkové hospodárstvo vo všetkých sektoroch, podpora prispôsobovania sa zmenám klímy, predchádzanie a riadenie rizika, ochrana životného prostredia a podpora efektívneho využívania zdrojov, podpora udržateľnej dopravy a odstraňovanie prekážok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 xml:space="preserve">v kľúčových sieťových infraštruktúrach), ekonomického aspektu (posilnenie výskumu, technologického rozvoja a inovácií, zlepšenie prístupu k IKT a zlepšenie ich využívania a kvality, zvýšenie konkurencieschopnosti MSP, investovanie do vzdelávania, zručností a celoživotného vzdelávania, posilnenie inštitucionálnych kapacít a efektivity verejnej správy) alebo sociálneho aspektu (podpora zamestnanosti a mobility pracovnej sily, podpora sociálneho začlenenia a boj proti chudobe)  udržateľného rozvoja. 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358EC" w14:textId="77777777" w:rsidR="00622CE0" w:rsidRPr="002857B8" w:rsidRDefault="00622CE0" w:rsidP="00A93490">
            <w:pPr>
              <w:pStyle w:val="Normlnywebov"/>
            </w:pPr>
            <w:r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lastRenderedPageBreak/>
              <w:t>Vylučujúce kritérium</w:t>
            </w:r>
            <w:r w:rsidRPr="002857B8">
              <w:t xml:space="preserve"> </w:t>
            </w:r>
          </w:p>
          <w:p w14:paraId="4C970D08" w14:textId="77777777" w:rsidR="00622CE0" w:rsidRPr="002857B8" w:rsidRDefault="00622CE0" w:rsidP="00A93490">
            <w:pPr>
              <w:pStyle w:val="Normlnywebov"/>
              <w:rPr>
                <w:rFonts w:ascii="Verdana" w:eastAsia="Helvetica" w:hAnsi="Verdana"/>
                <w:sz w:val="16"/>
              </w:rPr>
            </w:pPr>
            <w:r w:rsidRPr="002857B8" w:rsidDel="006D3D9E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DBC7B1" w14:textId="77777777" w:rsidR="00622CE0" w:rsidRPr="002857B8" w:rsidRDefault="00622CE0" w:rsidP="00A9349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sú v súlade s  </w:t>
            </w:r>
            <w:r w:rsidRPr="002857B8">
              <w:rPr>
                <w:rFonts w:ascii="Verdana" w:hAnsi="Verdana"/>
                <w:sz w:val="16"/>
                <w:szCs w:val="16"/>
              </w:rPr>
              <w:t>cieľmi HP UR</w:t>
            </w:r>
          </w:p>
        </w:tc>
      </w:tr>
      <w:tr w:rsidR="00622CE0" w:rsidRPr="002857B8" w14:paraId="39F1A071" w14:textId="77777777" w:rsidTr="00A93490">
        <w:trPr>
          <w:trHeight w:hRule="exact" w:val="2351"/>
        </w:trPr>
        <w:tc>
          <w:tcPr>
            <w:tcW w:w="172" w:type="pct"/>
            <w:vMerge/>
            <w:tcBorders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89400" w14:textId="77777777" w:rsidR="00622CE0" w:rsidRPr="002857B8" w:rsidRDefault="00622CE0" w:rsidP="00A9349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</w:p>
        </w:tc>
        <w:tc>
          <w:tcPr>
            <w:tcW w:w="947" w:type="pct"/>
            <w:vMerge/>
            <w:tcBorders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022759B" w14:textId="77777777" w:rsidR="00622CE0" w:rsidRPr="002857B8" w:rsidRDefault="00622CE0" w:rsidP="00A9349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91" w:type="pct"/>
            <w:vMerge/>
            <w:tcBorders>
              <w:bottom w:val="single" w:sz="6" w:space="0" w:color="auto"/>
            </w:tcBorders>
            <w:vAlign w:val="center"/>
          </w:tcPr>
          <w:p w14:paraId="1506783A" w14:textId="77777777" w:rsidR="00622CE0" w:rsidRPr="002857B8" w:rsidRDefault="00622CE0" w:rsidP="00A9349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591" w:type="pct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F1666" w14:textId="77777777" w:rsidR="00622CE0" w:rsidRPr="002857B8" w:rsidRDefault="00622CE0" w:rsidP="00A93490">
            <w:pPr>
              <w:pStyle w:val="Normlnywebov"/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</w:pP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34B0BE9" w14:textId="77777777" w:rsidR="00622CE0" w:rsidRPr="002857B8" w:rsidRDefault="00622CE0" w:rsidP="00A9349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nie  sú v súlade s </w:t>
            </w:r>
            <w:r w:rsidRPr="002857B8">
              <w:rPr>
                <w:rFonts w:ascii="Verdana" w:hAnsi="Verdana"/>
                <w:sz w:val="16"/>
                <w:szCs w:val="16"/>
              </w:rPr>
              <w:t>cieľmi HP UR</w:t>
            </w:r>
          </w:p>
          <w:p w14:paraId="2114E714" w14:textId="77777777" w:rsidR="00622CE0" w:rsidRPr="002857B8" w:rsidRDefault="00622CE0" w:rsidP="00A93490">
            <w:pPr>
              <w:pStyle w:val="Normlnywebov"/>
              <w:rPr>
                <w:rFonts w:ascii="Verdana" w:eastAsia="Calibri" w:hAnsi="Verdana"/>
                <w:b/>
                <w:sz w:val="16"/>
                <w:u w:color="000000"/>
                <w:bdr w:val="nil"/>
                <w:lang w:eastAsia="en-US"/>
              </w:rPr>
            </w:pPr>
          </w:p>
        </w:tc>
      </w:tr>
      <w:tr w:rsidR="00622CE0" w:rsidRPr="002857B8" w14:paraId="5EC26D6B" w14:textId="77777777" w:rsidTr="00A93490">
        <w:trPr>
          <w:trHeight w:val="1047"/>
        </w:trPr>
        <w:tc>
          <w:tcPr>
            <w:tcW w:w="172" w:type="pct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4CF0B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lastRenderedPageBreak/>
              <w:t>1.3</w:t>
            </w:r>
          </w:p>
        </w:tc>
        <w:tc>
          <w:tcPr>
            <w:tcW w:w="947" w:type="pct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EA7911F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súladu projektu s cieľmi HP </w:t>
            </w:r>
            <w:r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691" w:type="pct"/>
            <w:vMerge w:val="restart"/>
            <w:tcBorders>
              <w:top w:val="single" w:sz="6" w:space="0" w:color="auto"/>
            </w:tcBorders>
            <w:vAlign w:val="center"/>
          </w:tcPr>
          <w:p w14:paraId="1D77079D" w14:textId="77777777" w:rsidR="00622CE0" w:rsidRPr="002857B8" w:rsidRDefault="00622CE0" w:rsidP="00A93490">
            <w:pPr>
              <w:jc w:val="both"/>
              <w:rPr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val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7A6BD218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591" w:type="pct"/>
            <w:vMerge w:val="restar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7EE8A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F36D583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5A9D0F8" w14:textId="77777777" w:rsidR="00622CE0" w:rsidRPr="002857B8" w:rsidRDefault="00622CE0" w:rsidP="00A93490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622CE0" w:rsidRPr="002857B8" w14:paraId="3486DB32" w14:textId="77777777" w:rsidTr="00A93490">
        <w:trPr>
          <w:trHeight w:hRule="exact" w:val="1440"/>
        </w:trPr>
        <w:tc>
          <w:tcPr>
            <w:tcW w:w="172" w:type="pct"/>
            <w:vMerge/>
            <w:tcBorders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C8BF8" w14:textId="77777777" w:rsidR="00622CE0" w:rsidRPr="002857B8" w:rsidRDefault="00622CE0" w:rsidP="00A93490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</w:rPr>
            </w:pPr>
          </w:p>
        </w:tc>
        <w:tc>
          <w:tcPr>
            <w:tcW w:w="947" w:type="pct"/>
            <w:vMerge/>
            <w:tcBorders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4C28ABB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91" w:type="pct"/>
            <w:vMerge/>
            <w:tcBorders>
              <w:bottom w:val="single" w:sz="6" w:space="0" w:color="auto"/>
            </w:tcBorders>
            <w:vAlign w:val="center"/>
          </w:tcPr>
          <w:p w14:paraId="3650CF0C" w14:textId="77777777" w:rsidR="00622CE0" w:rsidRPr="002857B8" w:rsidRDefault="00622CE0" w:rsidP="00A93490">
            <w:pPr>
              <w:jc w:val="both"/>
              <w:rPr>
                <w:rFonts w:ascii="Verdana" w:eastAsia="Calibri" w:hAnsi="Verdana"/>
                <w:sz w:val="16"/>
                <w:u w:color="000000"/>
                <w:bdr w:val="nil"/>
                <w:lang w:val="sk-SK"/>
              </w:rPr>
            </w:pPr>
          </w:p>
        </w:tc>
        <w:tc>
          <w:tcPr>
            <w:tcW w:w="591" w:type="pct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3D227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A42175B" w14:textId="77777777" w:rsidR="00622CE0" w:rsidRPr="002857B8" w:rsidRDefault="00622CE0" w:rsidP="00A93490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622CE0" w:rsidRPr="002857B8" w14:paraId="74C913D8" w14:textId="77777777" w:rsidTr="00A93490">
        <w:trPr>
          <w:trHeight w:hRule="exact" w:val="4484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3DE8A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1.4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7CD11A7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Do akej miery projekt prispieva k prierezovým témam OP EVS?</w:t>
            </w: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AEC05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Posudzuje sa miera príspevku projektu k prierezovým témam OP EVS.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D1FB4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1AA63CD2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5 -3- 1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6780FF7" w14:textId="77777777" w:rsidR="00622CE0" w:rsidRPr="002857B8" w:rsidRDefault="00622CE0" w:rsidP="00A93490">
            <w:pPr>
              <w:pStyle w:val="TableParagraph"/>
              <w:spacing w:before="60"/>
              <w:jc w:val="bot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projekt má potenciál generovať výrazný príspevok k  prierezových témam  OP EVS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(výrazný príspevok projektu k minimálne jednej z prierezových tém OP EVS a súčasne príspevok projektu k ďalšej z prierezových tém OP EVS) </w:t>
            </w:r>
          </w:p>
          <w:p w14:paraId="7709621A" w14:textId="77777777" w:rsidR="00622CE0" w:rsidRPr="002857B8" w:rsidRDefault="00622CE0" w:rsidP="00A93490">
            <w:pPr>
              <w:pStyle w:val="TableParagraph"/>
              <w:spacing w:before="60"/>
              <w:jc w:val="bot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E056486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3–projekt má  potenciál čiastočne prispievať   k prierezovým  témam OP EVS a jeho príspevok je identifikovateľný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(prispieva priamo k minimálne  jednej z prierezových tém OP EVS , niektoré z hlavných aktivít  projektu prispievajú k plneniu len čiastočne). </w:t>
            </w:r>
          </w:p>
          <w:p w14:paraId="6FEE43DD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2AE77AA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 prierezovým témam sa nedá dostatočne identifikovať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 pravdepodobne čiastočne prispievajú k prierezovým témam OP EVS alebo len nepriamo prispievajú k plneniu prierezových tém; podstatnú časť aktivít nie je možné priradiť k prierezovým témam).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1A316A56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</w:pPr>
          </w:p>
        </w:tc>
      </w:tr>
      <w:tr w:rsidR="00622CE0" w:rsidRPr="002857B8" w14:paraId="4B5F74CC" w14:textId="77777777" w:rsidTr="00A93490">
        <w:trPr>
          <w:trHeight w:hRule="exact" w:val="4214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B44EC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1.5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85FEA87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Do akej miery projekt prispieva k zvýšeniu efektívnosti súdneho systému?</w:t>
            </w: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4F9E2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Posudzuje sa miera príspevku projektu k zvyšovaniu efektívnosti súdneho systému prostredníctvom optimalizácie štruktúr, procesov a systémov riadenia v súdnictve, strategického plánovania a ďalších foriem zvyšovania efektívnosti.</w:t>
            </w:r>
          </w:p>
          <w:p w14:paraId="53E33FD2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Pozn. riadiaci orgán posúdi možnosť  objektívneho využitia tohto kritériá pred vyhlásením výzvy vzhľadom na jej   charakter</w:t>
            </w: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. V prípade negatívneho posúdenia, sa príloha výzvy Kritériá pre výber projektov upraví tak, že sa toto kritérium neuplatní.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lang w:val="sk-SK"/>
              </w:rPr>
              <w:t xml:space="preserve"> 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44AA2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57FFF8B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0A7B5768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5 -3- 1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8D4F770" w14:textId="77777777" w:rsidR="00622CE0" w:rsidRPr="002857B8" w:rsidRDefault="00622CE0" w:rsidP="00A93490">
            <w:pPr>
              <w:pStyle w:val="TableParagraph"/>
              <w:spacing w:before="60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projekt má potenciál generovať  výrazný príspevok  k zvýšeniu efektívnosti  súdneho systému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sú  zamerané  na racionalizáciu štruktúr a  systémov riadenia súdneho systému alebo integráciu a optimalizáciu procesov a majú výrazný potenciál k ním prispieť)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  <w:p w14:paraId="5D25688A" w14:textId="77777777" w:rsidR="00622CE0" w:rsidRPr="002857B8" w:rsidRDefault="00622CE0" w:rsidP="00A93490">
            <w:pPr>
              <w:pStyle w:val="TableParagraph"/>
              <w:spacing w:before="60"/>
              <w:jc w:val="bot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–projekt má potenciál čiastočne  prispieť  k zvyšovaniu efektívnosti súdneho systému a jeho príspevok je identifikovateľný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(súčasťou projektu sú aj aktivity vedúce k priamemu zvyšovaniu efektívnosti súdneho systému).</w:t>
            </w:r>
          </w:p>
          <w:p w14:paraId="7F2862B3" w14:textId="77777777" w:rsidR="00622CE0" w:rsidRPr="002857B8" w:rsidRDefault="00622CE0" w:rsidP="00A93490">
            <w:pPr>
              <w:pStyle w:val="TableParagraph"/>
              <w:spacing w:before="60"/>
              <w:jc w:val="both"/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 zvýšeniu efektívnosti súdneho systému  sa nedá dostatočne identifikovať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(niektoré aktivity  pravdepodobne čiastočne prispievajú  k zvýšeniu efektívnosti súdneho systému alebo majú potenciál prispieť okrajovo; podstatnej časti aktivít nie je možné priradiť príspevok k zvýšeniu efektívnosti súdneho systému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</w:tc>
      </w:tr>
      <w:tr w:rsidR="00622CE0" w:rsidRPr="002857B8" w14:paraId="57E82B14" w14:textId="77777777" w:rsidTr="00A93490">
        <w:trPr>
          <w:trHeight w:hRule="exact" w:val="4484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0950C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1.6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F32A628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Do akej miery projekt prispieva k zvýšeniu kvality výstupov súdneho systému?</w:t>
            </w: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D1A3B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Posudzuje sa miera príspevku projektu k zvyšovaniu kvalitatívnej úrovne odborných schopností personálnych kapacít (vzdelávaniu, riadeniu, hodnoteniu kvality, monitorovaniu, zvyšovaniu analytických a strategických kapacít), nezávislosti súdnictva, posilňovaniu nezávislosti súdnictva, meraniu a hodnoteniu kvality výstupov a ďalším formám zvyšovania kvality súdnictva.</w:t>
            </w:r>
          </w:p>
          <w:p w14:paraId="78843122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Pozn. riadiaci orgán pre OP EVS posúdi možnosť  objektívneho využitia tohto kritériá pred vyhlásením výzvy vzhľadom na jej charakter</w:t>
            </w: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. V prípade negatívneho posúdenia, sa príloha výzvy, Kritériá pre výber projektov upraví tak, že sa toto kritérium neuplatní. 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DCE2E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63BB72AE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92B715B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5 -3- 1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2A86902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projekt má potenciál generovať výrazný príspevok  k  zvýšeniu kvality  výstupov súdneho systému a budovaniu kapacít súdnictva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(hlavné aktivity projektu majú výrazný potenciál  prispieť k zvyšovaniu kvality súdneho systému a budovaniu kapacít súdnictva)</w:t>
            </w:r>
          </w:p>
          <w:p w14:paraId="11D12701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projekt má potenciál čiastočne prispieť k zvýšeniu kvality výstupov súdneho systému a budovaniu kapacít súdnictva a/alebo budovaniu kapacít súdnictva  a jeho príspevok je identifikovateľný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(súčasťou projektu sú aj aktivity vedúce  k zvyšovaniu kvality súdneho systému a budovaniu kapacít súdnictva 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  </w:t>
            </w:r>
          </w:p>
          <w:p w14:paraId="1FD20A77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 zvýšeniu kvality výstupov súdneho systému a budovaniu kapacít súdnictva sa nedá dostatočne identifikovať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(niektoré aktivity  pravdepodobne čiastočne prispejú  k  zvyšovaniu kvality súdneho systému a budovaniu kapacít súdnictva;  podstatnej časti aktivít nie je možné priradiť príspevok). </w:t>
            </w:r>
          </w:p>
        </w:tc>
      </w:tr>
      <w:tr w:rsidR="00622CE0" w:rsidRPr="002857B8" w14:paraId="575BB839" w14:textId="77777777" w:rsidTr="00A93490">
        <w:trPr>
          <w:trHeight w:hRule="exact" w:val="6057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992C9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1.7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010C771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Do akej miery projekt prispieva k zvýšeniu kvality, rozsahu služieb pre verejnosť a zapojenie verejnosti</w:t>
            </w: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00A27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Posudzuje sa do akej miery projekt prispieva k zvýšeniu dostupnosti informácii a právnych služieb pre verejnosť, k otvoreniu súdneho systému verejnosti a k zapojeniu mimovládnych organizácií (MNO) a pod.</w:t>
            </w:r>
          </w:p>
          <w:p w14:paraId="18523FC7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58551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1FB84DF8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 xml:space="preserve">5 -3- 1 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C93D8E4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 – projekt má potenciál generovať výrazný príspevok  k   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zvýšeniu dostupnosti informácii a právnych služieb pre verejnosť, otvoreniu súdneho systému verejnosti a zapojenie MNO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(hlavné aktivity projektu majú výrazný potenciál  prispieť k zvýšeniu dostupnosti informácii a právnych služieb pre verejnosť, otvoreniu súdneho systému verejnosti a zapojenie MNO).</w:t>
            </w:r>
          </w:p>
          <w:p w14:paraId="4EF48CB4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16C6A232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3 – projekt má potenciál čiastočne  prispieť k  zvýšeniu dostupnosti informácii a právnych služieb pre verejnosť, otvoreniu súdneho systému verejnosti a zapojenie MNO a jeho príspevok je dobre identifikovateľný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súčasťou projektu sú aj aktivity vedúce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zvýšeniu dostupnosti informácii a právnych služieb pre verejnosť, otvoreniu súdneho systému verejnosti a zapojenie MNO).</w:t>
            </w:r>
          </w:p>
          <w:p w14:paraId="5D49129B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 zvýšeniu dostupnosti informácii a právnych služieb pre verejnosť, otvoreniu súdneho systému verejnosti a zapojenie MNO  sa nedá dostatočne identifikovať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(niektoré aktivity projektu môžu čiastočne alebo  okrajovo prispieť  k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zvýšeniu dostupnosti informácii a právnych služieb pre verejnosť, otvoreniu súdneho systému verejnosti a zapojenie MNO alebo majú potenciál k nej prispieť okrajovo; podstatnej časti aktivít nie je možné priradiť žiaden príspevok).</w:t>
            </w:r>
          </w:p>
        </w:tc>
      </w:tr>
      <w:tr w:rsidR="00622CE0" w:rsidRPr="002857B8" w14:paraId="3B9408FB" w14:textId="77777777" w:rsidTr="00A93490">
        <w:trPr>
          <w:trHeight w:hRule="exact" w:val="485"/>
        </w:trPr>
        <w:tc>
          <w:tcPr>
            <w:tcW w:w="172" w:type="pct"/>
            <w:tcBorders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73C78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4828" w:type="pct"/>
            <w:gridSpan w:val="4"/>
            <w:tcBorders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3497B8A9" w14:textId="77777777" w:rsidR="00622CE0" w:rsidRPr="002857B8" w:rsidRDefault="00622CE0" w:rsidP="00A93490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622CE0" w:rsidRPr="002857B8" w14:paraId="0C32F8EC" w14:textId="77777777" w:rsidTr="00A93490">
        <w:trPr>
          <w:trHeight w:hRule="exact" w:val="1515"/>
        </w:trPr>
        <w:tc>
          <w:tcPr>
            <w:tcW w:w="17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95A01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94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026EA385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1691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3DFE8" w14:textId="77777777" w:rsidR="00622CE0" w:rsidRPr="002857B8" w:rsidRDefault="00622CE0" w:rsidP="00A93490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Posudzuje sa vnútorná logika projektu, </w:t>
            </w:r>
            <w:proofErr w:type="spellStart"/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t.j</w:t>
            </w:r>
            <w:proofErr w:type="spellEnd"/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. či aktivity projektu zabezpečujú dosiahnutie plánovaných výsledkov a cieľov projektu, či prostredníctvom realizácie navrhovaných aktivít je možné dosiahnuť plnenie navrhnutých merateľných ukazovateľov. 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1C923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27FE05E1" w14:textId="77777777" w:rsidR="00622CE0" w:rsidRPr="002857B8" w:rsidRDefault="00622CE0" w:rsidP="00A93490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7344B20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vychádzajú z potrieb  žiadateľa, sú zrozumiteľne definované a ich realizáciou sa dosiahnu plánované výsledky, ciele a merateľné ukazovatele projektu. Ak relevantné: projekt logicky nadväzuje na iné realizované/plánované projekty.</w:t>
            </w:r>
          </w:p>
        </w:tc>
      </w:tr>
      <w:tr w:rsidR="00622CE0" w:rsidRPr="002857B8" w14:paraId="7D5FF208" w14:textId="77777777" w:rsidTr="00A93490">
        <w:trPr>
          <w:trHeight w:hRule="exact" w:val="2033"/>
        </w:trPr>
        <w:tc>
          <w:tcPr>
            <w:tcW w:w="17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3799" w14:textId="77777777" w:rsidR="00622CE0" w:rsidRPr="002857B8" w:rsidRDefault="00622CE0" w:rsidP="00A93490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94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D55B575" w14:textId="77777777" w:rsidR="00622CE0" w:rsidRPr="002857B8" w:rsidRDefault="00622CE0" w:rsidP="00A93490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F3148" w14:textId="77777777" w:rsidR="00622CE0" w:rsidRPr="002857B8" w:rsidRDefault="00622CE0" w:rsidP="00A93490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591" w:type="pct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6097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D3034A2" w14:textId="77777777" w:rsidR="00622CE0" w:rsidRPr="002857B8" w:rsidRDefault="00622CE0" w:rsidP="00A93490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minimálne jedna z hlavných aktivít projektu nie je opodstatnená z pohľadu potrieb žiadateľa, nie je potrebná/neprispieva k dosahovaniu plánovaných výsledkov, cieľov a merateľných ukazovateľov projektu, nie je vhodná vzhľadom na iné realizované/plánované projekty. Na dosiahnutie výsledkov, cieľov a merateľných ukazovateľov je potrebná realizácia aktivity, ktorá v projekte nie je uvedená.</w:t>
            </w:r>
          </w:p>
        </w:tc>
      </w:tr>
      <w:tr w:rsidR="00622CE0" w:rsidRPr="002857B8" w14:paraId="34FC8DB4" w14:textId="77777777" w:rsidTr="00A93490">
        <w:trPr>
          <w:trHeight w:val="1134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0C2C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2.2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C40EA25" w14:textId="77777777" w:rsidR="00622CE0" w:rsidRPr="002857B8" w:rsidRDefault="00622CE0" w:rsidP="00A93490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41637870" w14:textId="77777777" w:rsidR="00622CE0" w:rsidRPr="002857B8" w:rsidRDefault="00622CE0" w:rsidP="00A93490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04937" w14:textId="77777777" w:rsidR="00622CE0" w:rsidRPr="002857B8" w:rsidRDefault="00622CE0" w:rsidP="00A93490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dosiahnutie cieľov a výsledkov projektu, ich  logická previazanosť 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5855E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396A3E71" w14:textId="77777777" w:rsidR="00622CE0" w:rsidRPr="002857B8" w:rsidRDefault="00622CE0" w:rsidP="00A93490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BEA3FFB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 všetky aktivity umožňujú dosiahnutie výstupov projektu v navrhovanom rozsahu a požadovanej kvalite).</w:t>
            </w:r>
          </w:p>
          <w:p w14:paraId="24A54C3D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projektu vykazuje isté menej závažné nedostatky, napr. identifikované nedostatky umožňujú  dosiahnutie výstupov projektu v navrhovanom rozsahu a požadovanej kvalite, resp. sa v prípade potreby dajú pri  realizácii projektu  upraviť  bez   podstatných zmien projektu).</w:t>
            </w:r>
          </w:p>
          <w:p w14:paraId="746A81A5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navrhovaný spôsob realizácie projektu vykazuje riziko nedostatočnej vhodnosti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(viaceré aktivity projektu nie sú v plnej miere logicky previazané, identifikované nedostatky,  môžu samostatne alebo ako ich sumár ohroziť realizáciu projektu  a dosiahnutie jeho cieľov a výstupov).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622CE0" w:rsidRPr="002857B8" w14:paraId="654365B6" w14:textId="77777777" w:rsidTr="00A93490">
        <w:trPr>
          <w:trHeight w:val="1134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5087B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2.3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2B34B93" w14:textId="77777777" w:rsidR="00622CE0" w:rsidRPr="002857B8" w:rsidRDefault="00622CE0" w:rsidP="00A93490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  časového hľadiska</w:t>
            </w:r>
          </w:p>
          <w:p w14:paraId="536707AA" w14:textId="77777777" w:rsidR="00622CE0" w:rsidRPr="002857B8" w:rsidRDefault="00622CE0" w:rsidP="00A93490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DE69E" w14:textId="77777777" w:rsidR="00622CE0" w:rsidRPr="002857B8" w:rsidRDefault="00622CE0" w:rsidP="00A93490">
            <w:pPr>
              <w:pStyle w:val="tltabuky2"/>
              <w:widowControl w:val="0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chronologickú nadväznosť aktivít projektu, vhodnosť a reálnosť dĺžky trvania jednotlivých aktivít vzhľadom na navrhovaný časový harmonogram. 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4F76A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49B48A4E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2AA249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projektu majú logickú vzájomnú súvislosť, časové lehoty realizácie aktivít sú reálne a v súlade s navrhovaným časovým harmonogramom).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4A09D17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(navrhovaný spôsob realizácie projektu vykazuje isté menej závažné nedostatky, napr. identifikované nedostatky umožňujú  dosiahnutie výstupov projektu v navrhovanom rozsahu a požadovanej kvalite, resp. sa v prípade potreby dajú pri realizácii projektu upraviť bez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>podstatných zmien  projektu).</w:t>
            </w:r>
          </w:p>
          <w:p w14:paraId="10B75BA4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navrhovaný spôsob realizácie projektu vykazuje riziko nedostatočnej vhodnosti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(niektoré časové lehoty realizácie aktivít nie sú reálne, nie sú vhodne chronologicky usporiadané;  identifikované nedostatky, môžu samostatne alebo ako ich sumár ohroziť realizáciu projektu  a dosiahnutie jeho cieľov a výstupov).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622CE0" w:rsidRPr="002857B8" w14:paraId="26DAF08E" w14:textId="77777777" w:rsidTr="00A93490">
        <w:trPr>
          <w:trHeight w:val="1111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1EDBA" w14:textId="77777777" w:rsidR="00622CE0" w:rsidRPr="002857B8" w:rsidRDefault="00622CE0" w:rsidP="00A93490">
            <w:pPr>
              <w:pStyle w:val="TableParagraph"/>
              <w:spacing w:before="120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2.4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1029E705" w14:textId="77777777" w:rsidR="00622CE0" w:rsidRPr="002857B8" w:rsidRDefault="00622CE0" w:rsidP="00A93490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2905441" w14:textId="77777777" w:rsidR="00622CE0" w:rsidRPr="002857B8" w:rsidRDefault="00622CE0" w:rsidP="00A93490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D063F" w14:textId="77777777" w:rsidR="00622CE0" w:rsidRPr="002857B8" w:rsidRDefault="00622CE0" w:rsidP="00A93490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vhodnosť nastavenia merateľných ukazovateľov a primeranosť  ich  hodnôt vzhľadom na rozsah a predpokladanú dĺžku realizácie navrhovaných aktivít projektu. Posudzuje sa či hodnoty merateľných ukazovateľov sú nastavené dostatočne ambiciózne vzhľadom na výšku žiadaného NFP.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876A" w14:textId="77777777" w:rsidR="00622CE0" w:rsidRPr="002857B8" w:rsidRDefault="00622CE0" w:rsidP="00A93490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1E88AFE6" w14:textId="77777777" w:rsidR="00622CE0" w:rsidRDefault="00622CE0" w:rsidP="00A93490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  <w:p w14:paraId="7CD0BB7B" w14:textId="77777777" w:rsidR="00622CE0" w:rsidRPr="002857B8" w:rsidRDefault="00622CE0" w:rsidP="00A93490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EB54EF9" w14:textId="77777777" w:rsidR="00622CE0" w:rsidRPr="002857B8" w:rsidRDefault="00622CE0" w:rsidP="00A93490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zvolené merateľné ukazovatele a ich hodnoty komplexne vyjadrujú výsledky navrhovaných aktivít optimálne,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(hodnoty ukazovateľov  sú dosiahnuteľné v stanovenom časovom rámci projektu a ich plánované hodnoty zodpovedajú výške NFP v zmysle princípu „</w:t>
            </w:r>
            <w:proofErr w:type="spellStart"/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Value</w:t>
            </w:r>
            <w:proofErr w:type="spellEnd"/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proofErr w:type="spellStart"/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for</w:t>
            </w:r>
            <w:proofErr w:type="spellEnd"/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Money“).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CA398E0" w14:textId="77777777" w:rsidR="00622CE0" w:rsidRPr="002857B8" w:rsidRDefault="00622CE0" w:rsidP="00A93490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zvolené merateľné ukazovatele a ich hodnoty komplexne vyjadrujú výsledky  navrhovaných aktivít dostatočne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(zvolené merateľné ukazovatele a ich hodnoty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vykazujú isté  nedostatky menej závažného  charakteru, napr.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plánovaná hodnota sa javí  menej reálna  alebo  menej ambiciózna z vecného, časového alebo finančného hľadiska,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 ukazovateľ  z pohľadu navrhovaných aktivít sa javí  ako nie celkom vhodne zvolený).</w:t>
            </w:r>
          </w:p>
          <w:p w14:paraId="6B2C8AEF" w14:textId="77777777" w:rsidR="00622CE0" w:rsidRPr="002857B8" w:rsidRDefault="00622CE0" w:rsidP="00A93490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 w:cstheme="minorBidi"/>
                <w:color w:val="auto"/>
                <w:sz w:val="16"/>
                <w:szCs w:val="16"/>
              </w:rPr>
              <w:t xml:space="preserve">1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– zvolené merateľné ukazovatele a ich hodnoty komplexne  vykazujú riziko nedostatočného  vyjadrenia výsledkov navrhovaných aktivít   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br/>
              <w:t>(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nereálna plánovaná hodnota, resp. nedostatočne ambiciózna plánovaná hodnota z vecného, časového alebo finančného hľadiska;  zvolený nerelevantný/nevhodný merateľný ukazovateľ z pohľadu navrhovaných aktivít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identifikované nedostatky,  môžu samostatne  alebo ako ich sumár ohroziť  sledovanie cieľov, 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ktoré majú byť realizáciou projektu dosiahnuté).</w:t>
            </w:r>
          </w:p>
        </w:tc>
      </w:tr>
      <w:tr w:rsidR="00622CE0" w:rsidRPr="002857B8" w14:paraId="38CCEFD4" w14:textId="77777777" w:rsidTr="00A93490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72" w:type="pct"/>
            <w:tcBorders>
              <w:top w:val="single" w:sz="6" w:space="0" w:color="auto"/>
            </w:tcBorders>
            <w:vAlign w:val="center"/>
          </w:tcPr>
          <w:p w14:paraId="384B49A2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4828" w:type="pct"/>
            <w:gridSpan w:val="4"/>
            <w:tcBorders>
              <w:top w:val="single" w:sz="6" w:space="0" w:color="auto"/>
            </w:tcBorders>
            <w:vAlign w:val="center"/>
          </w:tcPr>
          <w:p w14:paraId="3B54A1B8" w14:textId="77777777" w:rsidR="00622CE0" w:rsidRPr="002857B8" w:rsidRDefault="00622CE0" w:rsidP="00A93490">
            <w:pPr>
              <w:rPr>
                <w:rFonts w:ascii="Verdana" w:eastAsia="Arial" w:hAnsi="Verdana" w:cs="Arial"/>
                <w:i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 w:cs="Arial"/>
                <w:b/>
                <w:bCs/>
                <w:spacing w:val="-8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žiadate</w:t>
            </w:r>
            <w:r w:rsidRPr="002857B8">
              <w:rPr>
                <w:rFonts w:ascii="Verdana" w:hAnsi="Verdana" w:cs="Arial"/>
                <w:sz w:val="16"/>
                <w:szCs w:val="16"/>
                <w:lang w:val="sk-SK"/>
              </w:rPr>
              <w:t>ľ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a</w:t>
            </w:r>
          </w:p>
        </w:tc>
      </w:tr>
      <w:tr w:rsidR="00622CE0" w:rsidRPr="002857B8" w14:paraId="2861BD75" w14:textId="77777777" w:rsidTr="00A93490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72" w:type="pct"/>
            <w:vMerge w:val="restart"/>
            <w:vAlign w:val="center"/>
          </w:tcPr>
          <w:p w14:paraId="291965A5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3.1</w:t>
            </w:r>
          </w:p>
        </w:tc>
        <w:tc>
          <w:tcPr>
            <w:tcW w:w="947" w:type="pct"/>
            <w:vMerge w:val="restart"/>
            <w:vAlign w:val="center"/>
          </w:tcPr>
          <w:p w14:paraId="4E5D254F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administratívnych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 a odborných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kapacít na riadenie a realizáciu projektu</w:t>
            </w:r>
          </w:p>
        </w:tc>
        <w:tc>
          <w:tcPr>
            <w:tcW w:w="1691" w:type="pct"/>
            <w:vMerge w:val="restart"/>
            <w:vAlign w:val="center"/>
          </w:tcPr>
          <w:p w14:paraId="666D34A5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zostavenie realizačného tímu s dostatočnými administratívnymi (osoby zabezpečujúce základnú administratívu ako kopírovanie, prepisovanie, evidovanie a podobne, vrátane účtovného a personálneho zabezpečenia projektu) 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</w:p>
        </w:tc>
        <w:tc>
          <w:tcPr>
            <w:tcW w:w="591" w:type="pct"/>
            <w:vMerge w:val="restart"/>
            <w:tcBorders>
              <w:right w:val="single" w:sz="12" w:space="0" w:color="auto"/>
            </w:tcBorders>
            <w:vAlign w:val="center"/>
          </w:tcPr>
          <w:p w14:paraId="06897BD5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3603E58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E4496FF" w14:textId="77777777" w:rsidR="00622CE0" w:rsidRPr="002857B8" w:rsidRDefault="00622CE0" w:rsidP="00A9349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kapacity žiadateľa sú dostatočné z hľadiska ich počtu, odborných administratívnych znalostí a skúseností, jednotlivé kompetencie v rámci projektového tímu sú zadefinované komplexne a vytvárajú predpoklad pre správne riadenie a implementáciu projektu.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Nedostatky neohrozujú </w:t>
            </w:r>
            <w:r w:rsidRPr="002857B8">
              <w:rPr>
                <w:rFonts w:ascii="Verdana" w:eastAsia="Arial" w:hAnsi="Verdana"/>
                <w:sz w:val="16"/>
                <w:lang w:val="sk-SK"/>
              </w:rPr>
              <w:t>správne riadenie a implementáciu projektu.</w:t>
            </w:r>
          </w:p>
        </w:tc>
      </w:tr>
      <w:tr w:rsidR="00622CE0" w:rsidRPr="002857B8" w14:paraId="231E38D2" w14:textId="77777777" w:rsidTr="00A93490">
        <w:tblPrEx>
          <w:tblLook w:val="0000" w:firstRow="0" w:lastRow="0" w:firstColumn="0" w:lastColumn="0" w:noHBand="0" w:noVBand="0"/>
        </w:tblPrEx>
        <w:trPr>
          <w:trHeight w:val="1706"/>
        </w:trPr>
        <w:tc>
          <w:tcPr>
            <w:tcW w:w="172" w:type="pct"/>
            <w:vMerge/>
            <w:tcBorders>
              <w:bottom w:val="single" w:sz="6" w:space="0" w:color="auto"/>
            </w:tcBorders>
            <w:vAlign w:val="center"/>
          </w:tcPr>
          <w:p w14:paraId="48ADFF0E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947" w:type="pct"/>
            <w:vMerge/>
            <w:tcBorders>
              <w:bottom w:val="single" w:sz="6" w:space="0" w:color="auto"/>
            </w:tcBorders>
            <w:vAlign w:val="center"/>
          </w:tcPr>
          <w:p w14:paraId="561E95D9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1691" w:type="pct"/>
            <w:vMerge/>
            <w:tcBorders>
              <w:bottom w:val="single" w:sz="6" w:space="0" w:color="auto"/>
            </w:tcBorders>
            <w:vAlign w:val="center"/>
          </w:tcPr>
          <w:p w14:paraId="6E6796E5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591" w:type="pct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714D311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4F20107" w14:textId="77777777" w:rsidR="00622CE0" w:rsidRPr="002857B8" w:rsidRDefault="00622CE0" w:rsidP="00A9349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kapacity žiadateľa sú nedostatočné v minimálne jednom z nasledovných hľadísk: počet, odborné administratívne znalosti a skúsenosti, kompletnosť projektového tímu, pričom nedostatky administratívnych kapacít vytvárajú ohrozenie pre správne riadenie a implementáciu projektu.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Nedostatky ohrozujú </w:t>
            </w:r>
            <w:r w:rsidRPr="002857B8">
              <w:rPr>
                <w:rFonts w:ascii="Verdana" w:eastAsia="Arial" w:hAnsi="Verdana"/>
                <w:sz w:val="16"/>
                <w:lang w:val="sk-SK"/>
              </w:rPr>
              <w:t>správne riadenie a implementáciu projektu.</w:t>
            </w:r>
          </w:p>
        </w:tc>
      </w:tr>
      <w:tr w:rsidR="00622CE0" w:rsidRPr="002857B8" w14:paraId="1093AA48" w14:textId="77777777" w:rsidTr="00A93490">
        <w:tblPrEx>
          <w:tblLook w:val="0000" w:firstRow="0" w:lastRow="0" w:firstColumn="0" w:lastColumn="0" w:noHBand="0" w:noVBand="0"/>
        </w:tblPrEx>
        <w:trPr>
          <w:trHeight w:val="1824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68A82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3.2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C7C3D" w14:textId="77777777" w:rsidR="00622CE0" w:rsidRPr="002857B8" w:rsidRDefault="00622CE0" w:rsidP="00A9349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administratívnych a odborných kapacít na riadenie  projektu</w:t>
            </w: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6EFEC" w14:textId="77777777" w:rsidR="00622CE0" w:rsidRPr="002857B8" w:rsidRDefault="00622CE0" w:rsidP="00A93490">
            <w:pPr>
              <w:jc w:val="both"/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administratívnymi a odbornými kapacitami na riadenie projektu (bežné administratívne práce, projektový manažment, monitorovanie, financovanie, publicita, dodržiavanie ustanovení zmluvy o NFP).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F20AE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68257512" w14:textId="77777777" w:rsidR="00622CE0" w:rsidRPr="002857B8" w:rsidRDefault="00622CE0" w:rsidP="00A9349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sz w:val="16"/>
                <w:lang w:val="sk-SK"/>
              </w:rPr>
              <w:t xml:space="preserve">5-3-1 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00926C8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5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 (v prípade relevantnosti vrátane partnera) sú optimálne  z hľadiska ich počtu, kvalifikácie a skúseností   </w:t>
            </w:r>
            <w:r w:rsidRPr="002857B8" w:rsidDel="00464F36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administratívnymi kapacitami  resp. primerane deklaruje  zabezpečenie administratívnych kapacít  s preukázateľnými skúsenosťami z oblasti implementácie projektov zo štrukturálnych fondov alebo  so skúsenosťami  s vykonávaním obsahovo totožných alebo porovnateľných  administratívne - riadiacich aktivít)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. </w:t>
            </w:r>
          </w:p>
          <w:p w14:paraId="7A218811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736DE3F8" w14:textId="77777777" w:rsidR="00622CE0" w:rsidRPr="002857B8" w:rsidRDefault="00622CE0" w:rsidP="00A93490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3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 (v prípade relevantnosti vrátane partnera) sú celkovo  dostatočné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 hľadiska ich počtu, kvalifikácie   a skúsenosti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administratívne kapacity  resp. ich deklarované  zabezpečenie  vykazuje  isté menej závažné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napr. čiastočne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chýbajú skúsenosti z oblasti implementácie projektov zo  štrukturálnych fondov alebo s vykonávaním obsahovo totožných alebo príbuzných administratívne – riadiacich  aktivít). </w:t>
            </w:r>
          </w:p>
          <w:p w14:paraId="59CF8905" w14:textId="77777777" w:rsidR="00622CE0" w:rsidRPr="002857B8" w:rsidRDefault="00622CE0" w:rsidP="00A93490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09C85C43" w14:textId="77777777" w:rsidR="00622CE0" w:rsidRPr="002857B8" w:rsidRDefault="00622CE0" w:rsidP="00A93490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administratívne kapacity žiadateľa (v prípade relevantnosti vrátane partnera) z  viacerých aspektov vykazujú riziko ich nedostatočnosti z hľadiska ich počtu, skúseností alebo kvalifikácie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(žiadateľove administratívne kapacity,  resp. ich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deklarované  zabezpečenie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administráciu a správne riadenie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668828D7" w14:textId="77777777" w:rsidR="00622CE0" w:rsidRPr="002857B8" w:rsidRDefault="00622CE0" w:rsidP="00A93490">
            <w:pPr>
              <w:rPr>
                <w:rFonts w:ascii="Verdana" w:hAnsi="Verdana"/>
                <w:b/>
                <w:sz w:val="16"/>
                <w:lang w:val="sk-SK"/>
              </w:rPr>
            </w:pPr>
          </w:p>
        </w:tc>
      </w:tr>
      <w:tr w:rsidR="00622CE0" w:rsidRPr="002857B8" w14:paraId="5C2E7DBA" w14:textId="77777777" w:rsidTr="00A93490">
        <w:tblPrEx>
          <w:tblLook w:val="0000" w:firstRow="0" w:lastRow="0" w:firstColumn="0" w:lastColumn="0" w:noHBand="0" w:noVBand="0"/>
        </w:tblPrEx>
        <w:trPr>
          <w:trHeight w:val="6372"/>
        </w:trPr>
        <w:tc>
          <w:tcPr>
            <w:tcW w:w="1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84E65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3.3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4420C" w14:textId="77777777" w:rsidR="00622CE0" w:rsidRPr="002857B8" w:rsidRDefault="00622CE0" w:rsidP="00A93490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odborných kapacít na  realizáciu projektu</w:t>
            </w:r>
          </w:p>
        </w:tc>
        <w:tc>
          <w:tcPr>
            <w:tcW w:w="1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69989" w14:textId="77777777" w:rsidR="00622CE0" w:rsidRPr="002857B8" w:rsidRDefault="00622CE0" w:rsidP="00A93490">
            <w:pPr>
              <w:jc w:val="both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odbornými kapacitami na odbornú realizáciu aktivít projektu (vrátane rozdelenia kompetencií, definovania potrebných odborných znalostí, vzdelania atď.).</w:t>
            </w:r>
          </w:p>
        </w:tc>
        <w:tc>
          <w:tcPr>
            <w:tcW w:w="59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CC1B6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56A02BA6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B7698D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Odborné kapacity žiadateľa (v prípade relevantnosti vrátane partnera)sú optimálne z hľadiska ich počtu, kvalifikácie a  skúseností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odbornými kapacitami resp. primerane deklaruje zabezpečenie vhodných odborných kapacít   zo skúsenosťami z  realizácie hlavných aktivít projektu alebo  s vykonávaním obsahovo totožných alebo porovnateľných aktivít, jednotlivé kompetencie v rámci projektového tímu sú zadefinované komplexne a vytvárajú predpoklad pre správne riadenie a implementáciu hlavných aktivít projektu.)</w:t>
            </w:r>
          </w:p>
          <w:p w14:paraId="6C5935CA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odborné kapacity žiadateľa (v prípade relevantnosti vrátane partnera) sú celkovo  dostatočné z hľadiska ich počtu, skúsenosti a  kvalifikácie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odborné  kapacity,  resp. ich deklarované  zabezpečenie  vykazujú  isté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čiastočne chýbajú napr. skúsenosti buď  z oblasti implementácie projektov zo  štrukturálnych fondov alebo s vykonávaním obsahovo totožných resp. porovnateľných odborných  aktivít , jednotlivé kompetencie v rámci projektového tímu vytvárajú predpoklad pre správne riadenie a implementáciu hlavných aktivít projektu</w:t>
            </w:r>
            <w:r w:rsidRPr="002857B8" w:rsidDel="0083762B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  <w:p w14:paraId="357171FB" w14:textId="77777777" w:rsidR="00622CE0" w:rsidRPr="002857B8" w:rsidRDefault="00622CE0" w:rsidP="00A9349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odborné  kapacity žiadateľa (v prípade relevantnosti vrátane partnera) z viacerých aspektov vykazujú riziko nedostatočnosti z hľadiska ich počtu, skúseností alebo kvalifikácie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žiadateľove odborné  kapacity,  resp. ich deklarované  zabezpečenie 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správne riadenie a implementáciu hlavných aktivít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</w:tc>
      </w:tr>
      <w:tr w:rsidR="00622CE0" w:rsidRPr="002857B8" w14:paraId="7E222EC2" w14:textId="77777777" w:rsidTr="00A9349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2" w:type="pct"/>
            <w:tcBorders>
              <w:top w:val="single" w:sz="6" w:space="0" w:color="auto"/>
            </w:tcBorders>
            <w:vAlign w:val="center"/>
          </w:tcPr>
          <w:p w14:paraId="7E9A36B6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4828" w:type="pct"/>
            <w:gridSpan w:val="4"/>
            <w:tcBorders>
              <w:top w:val="single" w:sz="6" w:space="0" w:color="auto"/>
            </w:tcBorders>
            <w:vAlign w:val="center"/>
          </w:tcPr>
          <w:p w14:paraId="7D31E4C4" w14:textId="77777777" w:rsidR="00622CE0" w:rsidRPr="002857B8" w:rsidRDefault="00622CE0" w:rsidP="00A93490">
            <w:pPr>
              <w:rPr>
                <w:rFonts w:ascii="Verdana" w:eastAsia="Arial" w:hAnsi="Verdana" w:cs="Arial"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Finančná a ekonomická stránka projektu</w:t>
            </w:r>
          </w:p>
        </w:tc>
      </w:tr>
      <w:tr w:rsidR="00622CE0" w:rsidRPr="002857B8" w14:paraId="7FB269BC" w14:textId="77777777" w:rsidTr="00A93490">
        <w:tblPrEx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172" w:type="pct"/>
            <w:vMerge w:val="restart"/>
            <w:vAlign w:val="center"/>
          </w:tcPr>
          <w:p w14:paraId="0068B68D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4.1</w:t>
            </w:r>
          </w:p>
        </w:tc>
        <w:tc>
          <w:tcPr>
            <w:tcW w:w="947" w:type="pct"/>
            <w:vMerge w:val="restart"/>
            <w:vAlign w:val="center"/>
          </w:tcPr>
          <w:p w14:paraId="4C2FEC41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1691" w:type="pct"/>
            <w:vMerge w:val="restart"/>
            <w:vAlign w:val="center"/>
          </w:tcPr>
          <w:p w14:paraId="658759D2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sa, či výdavky projektu sú vecne oprávnené v zmysle vyzvania  a príslušnej riadiacej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>dokumentácie, či sú účelné z pohľadu dosahovania stanovených cieľov projektu (</w:t>
            </w:r>
            <w:proofErr w:type="spellStart"/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t.j</w:t>
            </w:r>
            <w:proofErr w:type="spellEnd"/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proofErr w:type="spellStart"/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benchmarkov</w:t>
            </w:r>
            <w:proofErr w:type="spellEnd"/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, či výdavky projektu spĺňajú cieľ minimalizácie nákladov pri dodržaní požadovanej kvality výstupov. Zároveň sa posudzuje či sú jednotlivé výdavky zrozumiteľné, matematicky správne a dostatočne špecifikované (podrobný komentár k rozpočtu).</w:t>
            </w:r>
          </w:p>
          <w:p w14:paraId="148DBE35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1CC6C6D5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V prípade identifikácie neoprávnených výdavkov projektu alebo identifikácie nadhodnotených  výdavkov sa v procese odborného hodnotenia plánovaná výška celkových oprávnených výdavkov projektu adekvátne zníži a v nadväznosti na t</w:t>
            </w:r>
            <w:r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o sa navrhne nová výška NFP, ak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relevantné 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Pre určenie stanovenej percentuálnej hranice tohto vylučujúceho kritéria je rozhodujúca výška oprávnených výdavkov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pred prepočtom limitov rozpočtu.</w:t>
            </w:r>
          </w:p>
        </w:tc>
        <w:tc>
          <w:tcPr>
            <w:tcW w:w="591" w:type="pct"/>
            <w:vMerge w:val="restart"/>
            <w:tcBorders>
              <w:right w:val="single" w:sz="12" w:space="0" w:color="auto"/>
            </w:tcBorders>
            <w:vAlign w:val="center"/>
          </w:tcPr>
          <w:p w14:paraId="10C6891D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2B86C5B3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C5B254A" w14:textId="77777777" w:rsidR="00622CE0" w:rsidRPr="002857B8" w:rsidRDefault="00622CE0" w:rsidP="00A9349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</w:p>
        </w:tc>
      </w:tr>
      <w:tr w:rsidR="00622CE0" w:rsidRPr="002857B8" w14:paraId="5127E139" w14:textId="77777777" w:rsidTr="00A93490">
        <w:tblPrEx>
          <w:tblLook w:val="0000" w:firstRow="0" w:lastRow="0" w:firstColumn="0" w:lastColumn="0" w:noHBand="0" w:noVBand="0"/>
        </w:tblPrEx>
        <w:trPr>
          <w:trHeight w:val="3782"/>
        </w:trPr>
        <w:tc>
          <w:tcPr>
            <w:tcW w:w="172" w:type="pct"/>
            <w:vMerge/>
            <w:vAlign w:val="center"/>
          </w:tcPr>
          <w:p w14:paraId="7A8F5A30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947" w:type="pct"/>
            <w:vMerge/>
            <w:vAlign w:val="center"/>
          </w:tcPr>
          <w:p w14:paraId="6883DE3E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1691" w:type="pct"/>
            <w:vMerge/>
            <w:vAlign w:val="center"/>
          </w:tcPr>
          <w:p w14:paraId="25F1E5A3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591" w:type="pct"/>
            <w:vMerge/>
            <w:tcBorders>
              <w:right w:val="single" w:sz="12" w:space="0" w:color="auto"/>
            </w:tcBorders>
            <w:vAlign w:val="center"/>
          </w:tcPr>
          <w:p w14:paraId="4C037462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B94A918" w14:textId="77777777" w:rsidR="00622CE0" w:rsidRPr="002857B8" w:rsidRDefault="00622CE0" w:rsidP="00A93490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</w:p>
        </w:tc>
      </w:tr>
      <w:tr w:rsidR="00622CE0" w:rsidRPr="002857B8" w14:paraId="0841BAB4" w14:textId="77777777" w:rsidTr="00A93490">
        <w:tblPrEx>
          <w:tblLook w:val="0000" w:firstRow="0" w:lastRow="0" w:firstColumn="0" w:lastColumn="0" w:noHBand="0" w:noVBand="0"/>
        </w:tblPrEx>
        <w:trPr>
          <w:trHeight w:val="2572"/>
        </w:trPr>
        <w:tc>
          <w:tcPr>
            <w:tcW w:w="17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F829F1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4.2</w:t>
            </w:r>
          </w:p>
        </w:tc>
        <w:tc>
          <w:tcPr>
            <w:tcW w:w="94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6DBB0C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169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AD938E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Určujúcou je   miera  oprávnenosti celkových plánovaných výdavkov po posúdení ich vecnej oprávnenosti, účelnosti, efektívnosti  a hospodárnosti s následným znížením celkových oprávnených výdavkov na základe   identifikácie neoprávnených a nadhodnotených  výdavkov.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>V prípade zaokrúhľovania percentuálnej miery oprávnenosti sa zaokrúhľuje  na jedno desatinné miesto nadol.</w:t>
            </w:r>
          </w:p>
          <w:p w14:paraId="6202710C" w14:textId="77777777" w:rsidR="00622CE0" w:rsidRPr="002857B8" w:rsidRDefault="00622CE0" w:rsidP="00A9349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59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7B79F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D0C1592" w14:textId="77777777" w:rsidR="00622CE0" w:rsidRPr="002857B8" w:rsidRDefault="00622CE0" w:rsidP="00A93490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159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44E77" w14:textId="77777777" w:rsidR="00622CE0" w:rsidRPr="002857B8" w:rsidRDefault="00622CE0" w:rsidP="00A93490">
            <w:pPr>
              <w:spacing w:before="60"/>
              <w:jc w:val="both"/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5 – 95% a viac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  <w:p w14:paraId="11630F90" w14:textId="77777777" w:rsidR="00622CE0" w:rsidRPr="002857B8" w:rsidRDefault="00622CE0" w:rsidP="00A93490">
            <w:pPr>
              <w:spacing w:before="60"/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3 – 85% až do 94,9%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</w:t>
            </w:r>
          </w:p>
          <w:p w14:paraId="2058C31C" w14:textId="77777777" w:rsidR="00622CE0" w:rsidRPr="002857B8" w:rsidRDefault="00622CE0" w:rsidP="00A93490">
            <w:pPr>
              <w:spacing w:before="60"/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1 – 80% až do 84,9% z 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</w:tbl>
    <w:p w14:paraId="29E21A62" w14:textId="77777777" w:rsidR="00D11984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0C573A21" w14:textId="77777777" w:rsidR="00622CE0" w:rsidRDefault="00622CE0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590A3139" w14:textId="77777777" w:rsidR="00622CE0" w:rsidRDefault="00622CE0" w:rsidP="00622CE0">
      <w:pPr>
        <w:pStyle w:val="Odsekzoznamu"/>
        <w:spacing w:after="240"/>
        <w:ind w:left="0"/>
        <w:jc w:val="both"/>
        <w:rPr>
          <w:rFonts w:ascii="Verdana" w:eastAsia="Times New Roman" w:hAnsi="Verdana" w:cs="Calibri"/>
          <w:b/>
          <w:bCs/>
          <w:sz w:val="18"/>
          <w:szCs w:val="18"/>
          <w:lang w:val="sk-SK" w:eastAsia="sk-SK"/>
        </w:rPr>
      </w:pPr>
    </w:p>
    <w:p w14:paraId="6A4BADCC" w14:textId="77777777" w:rsidR="00622CE0" w:rsidRPr="002857B8" w:rsidRDefault="00622CE0" w:rsidP="00622CE0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val="sk-SK" w:eastAsia="sk-SK"/>
        </w:rPr>
        <w:lastRenderedPageBreak/>
        <w:t>P</w:t>
      </w:r>
      <w:r w:rsidRPr="002857B8">
        <w:rPr>
          <w:rFonts w:ascii="Verdana" w:eastAsia="Times New Roman" w:hAnsi="Verdana" w:cs="Calibri"/>
          <w:b/>
          <w:bCs/>
          <w:sz w:val="18"/>
          <w:szCs w:val="18"/>
          <w:lang w:val="sk-SK" w:eastAsia="sk-SK"/>
        </w:rPr>
        <w:t>O 2 Sumarizačný prehľad hodnotiacich kritérií pre dopytovo - orientované projekty OP EVS</w:t>
      </w:r>
    </w:p>
    <w:tbl>
      <w:tblPr>
        <w:tblW w:w="140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5292"/>
        <w:gridCol w:w="1415"/>
        <w:gridCol w:w="2017"/>
        <w:gridCol w:w="2164"/>
      </w:tblGrid>
      <w:tr w:rsidR="00622CE0" w:rsidRPr="002857B8" w14:paraId="5B218DFB" w14:textId="77777777" w:rsidTr="00A93490">
        <w:trPr>
          <w:trHeight w:val="43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57665D" w14:textId="77777777" w:rsidR="00622CE0" w:rsidRPr="002857B8" w:rsidRDefault="00622CE0" w:rsidP="00A93490">
            <w:pPr>
              <w:jc w:val="center"/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  <w:t>Hodnotené oblasti</w:t>
            </w:r>
          </w:p>
        </w:tc>
        <w:tc>
          <w:tcPr>
            <w:tcW w:w="5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7FEF645" w14:textId="77777777" w:rsidR="00622CE0" w:rsidRPr="002857B8" w:rsidRDefault="00622CE0" w:rsidP="00A93490">
            <w:pPr>
              <w:jc w:val="center"/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  <w:t>Hodnotiace kritéria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B3A91E6" w14:textId="77777777" w:rsidR="00622CE0" w:rsidRPr="002857B8" w:rsidRDefault="00622CE0" w:rsidP="00A93490">
            <w:pPr>
              <w:jc w:val="center"/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  <w:t>Typ kritéria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0FC26C8" w14:textId="77777777" w:rsidR="00622CE0" w:rsidRPr="002857B8" w:rsidRDefault="00622CE0" w:rsidP="00A93490">
            <w:pPr>
              <w:jc w:val="center"/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  <w:t>Hodnotenie/bodová škála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894CF" w14:textId="77777777" w:rsidR="00622CE0" w:rsidRPr="002857B8" w:rsidRDefault="00622CE0" w:rsidP="00A93490">
            <w:pPr>
              <w:jc w:val="center"/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16"/>
                <w:lang w:val="sk-SK" w:eastAsia="sk-SK"/>
              </w:rPr>
              <w:t>Maximum bodov</w:t>
            </w:r>
          </w:p>
        </w:tc>
      </w:tr>
      <w:tr w:rsidR="00622CE0" w:rsidRPr="002857B8" w14:paraId="78FF28D1" w14:textId="77777777" w:rsidTr="00A93490">
        <w:trPr>
          <w:trHeight w:val="435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50CCA5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  <w:t>Príspevok navrhovaného projektu k cieľom a výsledkom OP a PO 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B674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31D2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vylučujúce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092D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nie/áno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CC8D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N/A</w:t>
            </w:r>
          </w:p>
        </w:tc>
      </w:tr>
      <w:tr w:rsidR="00622CE0" w:rsidRPr="002857B8" w14:paraId="76EC54FC" w14:textId="77777777" w:rsidTr="00A93490">
        <w:trPr>
          <w:trHeight w:val="59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DD3D5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8099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1.2 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 xml:space="preserve">Súlad projektu s HP </w:t>
            </w:r>
            <w:r>
              <w:rPr>
                <w:rFonts w:ascii="Verdana" w:hAnsi="Verdana" w:cs="Times New Roman"/>
                <w:sz w:val="16"/>
                <w:szCs w:val="16"/>
                <w:lang w:val="sk-SK"/>
              </w:rPr>
              <w:t>UR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4EEA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vylučujúce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3EFA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nie/áno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2B9BC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N/A</w:t>
            </w:r>
          </w:p>
        </w:tc>
      </w:tr>
      <w:tr w:rsidR="00622CE0" w:rsidRPr="002857B8" w14:paraId="3BB80B52" w14:textId="77777777" w:rsidTr="00A93490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532C4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86B6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1.3 Posúdenie súladu projektu s cieľmi HP </w:t>
            </w:r>
            <w:r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B11D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vylučujúce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5377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nie/áno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E356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N/A</w:t>
            </w:r>
          </w:p>
        </w:tc>
      </w:tr>
      <w:tr w:rsidR="00622CE0" w:rsidRPr="002857B8" w14:paraId="69F1DA6B" w14:textId="77777777" w:rsidTr="00A93490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721A8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2EDD8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1.4 Do akej miery projekt prispieva k prierezovým témam OP EVS?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39B4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bodované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9E1B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 5-3-1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6B57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5</w:t>
            </w:r>
          </w:p>
        </w:tc>
      </w:tr>
      <w:tr w:rsidR="00622CE0" w:rsidRPr="002857B8" w14:paraId="2CE23E03" w14:textId="77777777" w:rsidTr="00A93490">
        <w:trPr>
          <w:trHeight w:val="46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37B3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6BF65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1.5 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Do akej miery projekt prispieva k zvýšeniu efektívnosti súdneho systému?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58CA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bodované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01B7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 5-3-1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BC80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5</w:t>
            </w:r>
          </w:p>
        </w:tc>
      </w:tr>
      <w:tr w:rsidR="00622CE0" w:rsidRPr="002857B8" w14:paraId="431200F5" w14:textId="77777777" w:rsidTr="00A93490">
        <w:trPr>
          <w:trHeight w:val="486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1C5D0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EBCC3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1.6 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Do akej miery projekt prispieva k zvýšeniu kvality výstupov súdneho systému?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7CF3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bodované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56B5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 5-3-1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5531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5</w:t>
            </w:r>
          </w:p>
        </w:tc>
      </w:tr>
      <w:tr w:rsidR="00622CE0" w:rsidRPr="002857B8" w14:paraId="4FCEF5CF" w14:textId="77777777" w:rsidTr="00A93490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B8DC6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AA571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1.7 </w:t>
            </w:r>
            <w:r w:rsidRPr="002857B8">
              <w:rPr>
                <w:rFonts w:ascii="Verdana" w:hAnsi="Verdana" w:cs="Arial"/>
                <w:sz w:val="16"/>
                <w:szCs w:val="16"/>
                <w:lang w:val="sk-SK"/>
              </w:rPr>
              <w:t>Do akej miery projekt prispieva k zvýšeniu kvality, rozsahu služieb pre verejnosť a zapojenie verejnosti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C8F3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bodované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F782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 5-3-1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F8EA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5</w:t>
            </w:r>
          </w:p>
        </w:tc>
      </w:tr>
      <w:tr w:rsidR="00622CE0" w:rsidRPr="002857B8" w14:paraId="67FD048F" w14:textId="77777777" w:rsidTr="00A93490">
        <w:trPr>
          <w:trHeight w:val="131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8E701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3D830547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  <w:t>Spolu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6E4E8E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C88EA7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157A2E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20</w:t>
            </w:r>
          </w:p>
        </w:tc>
      </w:tr>
      <w:tr w:rsidR="00622CE0" w:rsidRPr="002857B8" w14:paraId="6AD7D765" w14:textId="77777777" w:rsidTr="00A93490">
        <w:trPr>
          <w:trHeight w:val="57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A4D796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  <w:t>Navrhovaný spôsob realizácie projektu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7612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2.1 Previazanosť aktivít projektu na jeho výsledky, ciele a merateľné ukazovatele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95FD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vylučujúce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D1B8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nie/áno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4C46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N/A</w:t>
            </w:r>
          </w:p>
        </w:tc>
      </w:tr>
      <w:tr w:rsidR="00622CE0" w:rsidRPr="002857B8" w14:paraId="25D19F8B" w14:textId="77777777" w:rsidTr="00A93490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F1FD8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9FDF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2.2 Posúdenie vhodnosti navrhovaných aktivít z vecného  hľadiska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1856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bodované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6B6A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 5-3-1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A8FB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5</w:t>
            </w:r>
          </w:p>
        </w:tc>
      </w:tr>
      <w:tr w:rsidR="00622CE0" w:rsidRPr="002857B8" w14:paraId="4C2F55D9" w14:textId="77777777" w:rsidTr="00A93490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262CC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1B02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2.3 Posúdenie vhodnosti navrhovaných aktivít z časového hľadiska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C89C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bodované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DAF1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 5-3-1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3A53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5</w:t>
            </w:r>
          </w:p>
        </w:tc>
      </w:tr>
      <w:tr w:rsidR="00622CE0" w:rsidRPr="002857B8" w14:paraId="5D84B741" w14:textId="77777777" w:rsidTr="00A93490">
        <w:trPr>
          <w:trHeight w:val="668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D3B8D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6244" w14:textId="77777777" w:rsidR="00622CE0" w:rsidRPr="002857B8" w:rsidRDefault="00622CE0" w:rsidP="00A93490">
            <w:pPr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2.4 Posúdenie primeranosti a reálnosti plánovaných hodnôt merateľných ukazovateľov s ohľadom na časové, finančné a vecné hľadisko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C6EE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bodované 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9ED0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 xml:space="preserve"> 5-3-1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38E7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5</w:t>
            </w:r>
          </w:p>
        </w:tc>
      </w:tr>
      <w:tr w:rsidR="00622CE0" w:rsidRPr="002857B8" w14:paraId="7D023723" w14:textId="77777777" w:rsidTr="00A93490">
        <w:trPr>
          <w:trHeight w:val="137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72170" w14:textId="77777777" w:rsidR="00622CE0" w:rsidRPr="002857B8" w:rsidRDefault="00622CE0" w:rsidP="00A93490">
            <w:pPr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04AAF69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sk-SK" w:eastAsia="sk-SK"/>
              </w:rPr>
              <w:t>Spolu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38344D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3B29B0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BB3C39" w14:textId="77777777" w:rsidR="00622CE0" w:rsidRPr="002857B8" w:rsidRDefault="00622CE0" w:rsidP="00A93490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sz w:val="16"/>
                <w:szCs w:val="16"/>
                <w:lang w:val="sk-SK" w:eastAsia="sk-SK"/>
              </w:rPr>
              <w:t>15</w:t>
            </w:r>
          </w:p>
        </w:tc>
      </w:tr>
    </w:tbl>
    <w:p w14:paraId="095DB093" w14:textId="77777777" w:rsidR="00622CE0" w:rsidRPr="002857B8" w:rsidRDefault="00622CE0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F6CFE" w14:textId="77777777" w:rsidR="009124D5" w:rsidRDefault="009124D5" w:rsidP="00B912B9">
      <w:r>
        <w:separator/>
      </w:r>
    </w:p>
  </w:endnote>
  <w:endnote w:type="continuationSeparator" w:id="0">
    <w:p w14:paraId="7EB11415" w14:textId="77777777" w:rsidR="009124D5" w:rsidRDefault="009124D5" w:rsidP="00B912B9">
      <w:r>
        <w:continuationSeparator/>
      </w:r>
    </w:p>
  </w:endnote>
  <w:endnote w:type="continuationNotice" w:id="1">
    <w:p w14:paraId="74BF946F" w14:textId="77777777" w:rsidR="009124D5" w:rsidRDefault="00912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AA" w:rsidRPr="006C5DAA">
          <w:rPr>
            <w:noProof/>
            <w:lang w:val="sk-SK"/>
          </w:rPr>
          <w:t>11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B5983" w14:textId="77777777" w:rsidR="009124D5" w:rsidRDefault="009124D5" w:rsidP="00B912B9">
      <w:r>
        <w:separator/>
      </w:r>
    </w:p>
  </w:footnote>
  <w:footnote w:type="continuationSeparator" w:id="0">
    <w:p w14:paraId="6F26D867" w14:textId="77777777" w:rsidR="009124D5" w:rsidRDefault="009124D5" w:rsidP="00B912B9">
      <w:r>
        <w:continuationSeparator/>
      </w:r>
    </w:p>
  </w:footnote>
  <w:footnote w:type="continuationNotice" w:id="1">
    <w:p w14:paraId="437563ED" w14:textId="77777777" w:rsidR="009124D5" w:rsidRDefault="009124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071FBB42" w:rsidR="00781001" w:rsidRPr="00E8027C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Verdana" w:hAnsi="Verdana" w:cstheme="majorHAnsi"/>
        <w:color w:val="404040" w:themeColor="text1" w:themeTint="BF"/>
        <w:sz w:val="20"/>
        <w:szCs w:val="20"/>
        <w:lang w:val="sk-SK"/>
      </w:rPr>
    </w:pPr>
    <w:r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                      </w:t>
    </w:r>
    <w:r w:rsidR="003232A1" w:rsidRPr="00E8027C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Príloha č. </w:t>
    </w:r>
    <w:r w:rsidR="00BB24B5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>5</w:t>
    </w:r>
    <w:r w:rsidR="006C5DAA">
      <w:rPr>
        <w:rFonts w:ascii="Verdana" w:hAnsi="Verdana" w:cstheme="majorHAnsi"/>
        <w:color w:val="404040" w:themeColor="text1" w:themeTint="BF"/>
        <w:sz w:val="20"/>
        <w:szCs w:val="20"/>
        <w:lang w:val="sk-SK"/>
      </w:rPr>
      <w:t xml:space="preserve"> výzvy</w:t>
    </w:r>
  </w:p>
  <w:p w14:paraId="5D95D789" w14:textId="77777777" w:rsidR="00781001" w:rsidRPr="00E8027C" w:rsidRDefault="00781001">
    <w:pPr>
      <w:pStyle w:val="Hlavika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69E5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43DE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2A1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1B50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CE0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C5DAA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87A3C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24D5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E7541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24B5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027C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1190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2A02-68CF-445A-9133-426F3A31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9961E2-9F1F-487D-A0C5-F6E5072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Miruška Hrabčáková</cp:lastModifiedBy>
  <cp:revision>7</cp:revision>
  <cp:lastPrinted>2015-09-09T10:59:00Z</cp:lastPrinted>
  <dcterms:created xsi:type="dcterms:W3CDTF">2017-02-08T11:47:00Z</dcterms:created>
  <dcterms:modified xsi:type="dcterms:W3CDTF">2020-03-31T09:57:00Z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