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9064F" w14:textId="203077AE" w:rsidR="006A15C0" w:rsidRPr="00071D07" w:rsidRDefault="00534853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Zoznam oprávnených výdavkov</w:t>
      </w:r>
    </w:p>
    <w:p w14:paraId="3823F92D" w14:textId="77777777" w:rsidR="006A15C0" w:rsidRPr="00071D07" w:rsidRDefault="006A15C0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14:paraId="571B07DE" w14:textId="77777777" w:rsidR="000430D6" w:rsidRPr="00071D07" w:rsidRDefault="000430D6" w:rsidP="004E29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09A54B" w14:textId="0C8311AC" w:rsidR="00F84E4F" w:rsidRPr="00A67FC3" w:rsidRDefault="00F84E4F" w:rsidP="00F84E4F">
      <w:pPr>
        <w:jc w:val="both"/>
        <w:rPr>
          <w:rFonts w:ascii="Times New Roman" w:hAnsi="Times New Roman" w:cs="Times New Roman"/>
          <w:b/>
        </w:rPr>
      </w:pPr>
      <w:r w:rsidRPr="00A67FC3">
        <w:rPr>
          <w:rFonts w:ascii="Times New Roman" w:hAnsi="Times New Roman" w:cs="Times New Roman"/>
          <w:b/>
        </w:rPr>
        <w:t>Oprávnené výdavky pre žiadateľa</w:t>
      </w:r>
      <w:r w:rsidR="00D660CF">
        <w:rPr>
          <w:rFonts w:ascii="Times New Roman" w:hAnsi="Times New Roman" w:cs="Times New Roman"/>
          <w:b/>
        </w:rPr>
        <w:t>/partnera</w:t>
      </w:r>
      <w:r w:rsidRPr="00A67FC3">
        <w:rPr>
          <w:rFonts w:ascii="Times New Roman" w:hAnsi="Times New Roman" w:cs="Times New Roman"/>
          <w:b/>
        </w:rPr>
        <w:t>:</w:t>
      </w:r>
    </w:p>
    <w:p w14:paraId="7632A448" w14:textId="38184FDE" w:rsidR="002A60F6" w:rsidRPr="00A67FC3" w:rsidRDefault="002A60F6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 w:rsidR="00F952C7" w:rsidRPr="00A67FC3">
        <w:rPr>
          <w:rStyle w:val="Odkaznapoznmkupodiarou"/>
          <w:rFonts w:ascii="Times New Roman" w:hAnsi="Times New Roman" w:cs="Times New Roman"/>
        </w:rPr>
        <w:footnoteReference w:id="1"/>
      </w:r>
      <w:r w:rsidRPr="00A67FC3">
        <w:rPr>
          <w:rFonts w:ascii="Times New Roman" w:hAnsi="Times New Roman" w:cs="Times New Roman"/>
        </w:rPr>
        <w:t xml:space="preserve"> – odborný personál</w:t>
      </w:r>
      <w:r w:rsidR="008709D9">
        <w:rPr>
          <w:rStyle w:val="Odkaznapoznmkupodiarou"/>
          <w:rFonts w:ascii="Times New Roman" w:hAnsi="Times New Roman" w:cs="Times New Roman"/>
        </w:rPr>
        <w:footnoteReference w:id="2"/>
      </w:r>
      <w:r w:rsidRPr="00A67FC3">
        <w:rPr>
          <w:rFonts w:ascii="Times New Roman" w:hAnsi="Times New Roman" w:cs="Times New Roman"/>
        </w:rPr>
        <w:t>, ktor</w:t>
      </w:r>
      <w:r w:rsidR="00BD4B0D">
        <w:rPr>
          <w:rFonts w:ascii="Times New Roman" w:hAnsi="Times New Roman" w:cs="Times New Roman"/>
        </w:rPr>
        <w:t>ý</w:t>
      </w:r>
      <w:r w:rsidRPr="00A67FC3">
        <w:rPr>
          <w:rFonts w:ascii="Times New Roman" w:hAnsi="Times New Roman" w:cs="Times New Roman"/>
        </w:rPr>
        <w:t xml:space="preserve"> sa výlučne podieľa na odborných aktivitách projektu</w:t>
      </w:r>
      <w:r w:rsidR="00F952C7">
        <w:rPr>
          <w:rStyle w:val="Odkaznapoznmkupodiarou"/>
          <w:rFonts w:ascii="Times New Roman" w:hAnsi="Times New Roman" w:cs="Times New Roman"/>
        </w:rPr>
        <w:t>1</w:t>
      </w:r>
      <w:r w:rsidRPr="00A67FC3">
        <w:rPr>
          <w:rFonts w:ascii="Times New Roman" w:hAnsi="Times New Roman" w:cs="Times New Roman"/>
        </w:rPr>
        <w:t>;</w:t>
      </w:r>
      <w:bookmarkStart w:id="0" w:name="_GoBack"/>
      <w:bookmarkEnd w:id="0"/>
    </w:p>
    <w:p w14:paraId="27D5EDB6" w14:textId="3EBC2632" w:rsidR="00246CE4" w:rsidRDefault="00EA6ED4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paušálna sad</w:t>
      </w:r>
      <w:r w:rsidR="00F1354D">
        <w:rPr>
          <w:rFonts w:ascii="Times New Roman" w:hAnsi="Times New Roman" w:cs="Times New Roman"/>
        </w:rPr>
        <w:t>zba na ostatné výdavky projektu.</w:t>
      </w:r>
    </w:p>
    <w:p w14:paraId="35AAA12C" w14:textId="63756E14" w:rsidR="008709D9" w:rsidRDefault="008709D9" w:rsidP="00AE19E5">
      <w:pPr>
        <w:jc w:val="both"/>
        <w:rPr>
          <w:rFonts w:cstheme="minorHAnsi"/>
          <w:b/>
          <w:bCs/>
        </w:rPr>
      </w:pPr>
    </w:p>
    <w:p w14:paraId="23887B42" w14:textId="33C34F44" w:rsidR="008709D9" w:rsidRPr="00AE19E5" w:rsidRDefault="008709D9" w:rsidP="00AE19E5">
      <w:pPr>
        <w:jc w:val="both"/>
        <w:rPr>
          <w:rFonts w:ascii="Times New Roman" w:hAnsi="Times New Roman" w:cs="Times New Roman"/>
          <w:b/>
        </w:rPr>
      </w:pPr>
      <w:r w:rsidRPr="00AE19E5">
        <w:rPr>
          <w:rFonts w:ascii="Times New Roman" w:hAnsi="Times New Roman" w:cs="Times New Roman"/>
          <w:b/>
        </w:rPr>
        <w:t xml:space="preserve">Príklady oprávnených ostatných </w:t>
      </w:r>
      <w:r w:rsidR="0000039D">
        <w:rPr>
          <w:rFonts w:ascii="Times New Roman" w:hAnsi="Times New Roman" w:cs="Times New Roman"/>
          <w:b/>
        </w:rPr>
        <w:t>výdavkov</w:t>
      </w:r>
      <w:r w:rsidRPr="00AE19E5">
        <w:rPr>
          <w:rFonts w:ascii="Times New Roman" w:hAnsi="Times New Roman" w:cs="Times New Roman"/>
          <w:b/>
        </w:rPr>
        <w:t xml:space="preserve"> </w:t>
      </w:r>
      <w:r w:rsidR="00FC3881">
        <w:rPr>
          <w:rFonts w:ascii="Times New Roman" w:hAnsi="Times New Roman" w:cs="Times New Roman"/>
          <w:b/>
        </w:rPr>
        <w:t xml:space="preserve">uplatnených v paušálnej sadzbe </w:t>
      </w:r>
      <w:r w:rsidRPr="00AE19E5">
        <w:rPr>
          <w:rFonts w:ascii="Times New Roman" w:hAnsi="Times New Roman" w:cs="Times New Roman"/>
          <w:b/>
        </w:rPr>
        <w:t>pre účely dopytovo – orientovaných projektov</w:t>
      </w:r>
    </w:p>
    <w:p w14:paraId="3FE785EF" w14:textId="31C165F8" w:rsidR="008709D9" w:rsidRDefault="008709D9" w:rsidP="008709D9">
      <w:pPr>
        <w:spacing w:line="231" w:lineRule="atLeast"/>
        <w:jc w:val="both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 xml:space="preserve">Riadiaci orgán pre operačný program Efektívna verejná správa (ďalej len „RO pre OP EVS“) v súlade s čl. </w:t>
      </w:r>
      <w:r w:rsidR="00911754">
        <w:rPr>
          <w:rFonts w:asciiTheme="majorHAnsi" w:hAnsiTheme="majorHAnsi" w:cstheme="majorHAnsi"/>
          <w:i/>
          <w:sz w:val="20"/>
          <w:szCs w:val="20"/>
        </w:rPr>
        <w:t xml:space="preserve">68b </w:t>
      </w:r>
      <w:r>
        <w:rPr>
          <w:rFonts w:asciiTheme="majorHAnsi" w:hAnsiTheme="majorHAnsi" w:cstheme="majorHAnsi"/>
          <w:i/>
          <w:sz w:val="20"/>
          <w:szCs w:val="20"/>
        </w:rPr>
        <w:t xml:space="preserve">ods. </w:t>
      </w:r>
      <w:r w:rsidR="00911754">
        <w:rPr>
          <w:rFonts w:asciiTheme="majorHAnsi" w:hAnsiTheme="majorHAnsi" w:cstheme="majorHAnsi"/>
          <w:i/>
          <w:sz w:val="20"/>
          <w:szCs w:val="20"/>
        </w:rPr>
        <w:t>1</w:t>
      </w:r>
      <w:r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911754" w:rsidRPr="00911754">
        <w:rPr>
          <w:rFonts w:asciiTheme="majorHAnsi" w:hAnsiTheme="majorHAnsi" w:cstheme="majorHAnsi"/>
          <w:i/>
          <w:sz w:val="20"/>
          <w:szCs w:val="20"/>
        </w:rPr>
        <w:t>Nariadenia Európskeho parlamentu a Rady (EÚ) č. 1303/2013 zo 17. decembra 2013</w:t>
      </w:r>
      <w:r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911754" w:rsidRPr="00911754">
        <w:rPr>
          <w:rFonts w:asciiTheme="majorHAnsi" w:hAnsiTheme="majorHAnsi" w:cstheme="majorHAnsi"/>
          <w:i/>
          <w:sz w:val="20"/>
          <w:szCs w:val="20"/>
        </w:rPr>
        <w:t>, ktorým sa stanovujú spoločné ustanovenia o Európskom fonde regionálneho rozvoja, Európskom sociálnom fonde, Kohéznom fonde, Európskom poľnohospodárskom fonde pre rozvoj vidieka a Európskom námornom a rybárskom fonde a ktorým sa stanovujú všeobecné ustanovenia o Európskom fonde regionálneho rozvoja, Európskom sociálnom fonde, Kohéznom fonde a Európskom námornom a rybárskom fonde, a ktorým sa zrušuje nariadenie Rady (ES) č. 1083/2006</w:t>
      </w:r>
      <w:r w:rsidR="00911754">
        <w:rPr>
          <w:rFonts w:asciiTheme="majorHAnsi" w:hAnsiTheme="majorHAnsi" w:cstheme="majorHAnsi"/>
          <w:i/>
          <w:sz w:val="20"/>
          <w:szCs w:val="20"/>
        </w:rPr>
        <w:t xml:space="preserve"> </w:t>
      </w:r>
      <w:r>
        <w:rPr>
          <w:rFonts w:asciiTheme="majorHAnsi" w:hAnsiTheme="majorHAnsi" w:cstheme="majorHAnsi"/>
          <w:i/>
          <w:sz w:val="20"/>
          <w:szCs w:val="20"/>
        </w:rPr>
        <w:t>(ďalej len</w:t>
      </w:r>
      <w:r w:rsidR="00911754">
        <w:rPr>
          <w:rFonts w:asciiTheme="majorHAnsi" w:hAnsiTheme="majorHAnsi" w:cstheme="majorHAnsi"/>
          <w:i/>
          <w:sz w:val="20"/>
          <w:szCs w:val="20"/>
        </w:rPr>
        <w:t> </w:t>
      </w:r>
      <w:r>
        <w:rPr>
          <w:rFonts w:asciiTheme="majorHAnsi" w:hAnsiTheme="majorHAnsi" w:cstheme="majorHAnsi"/>
          <w:i/>
          <w:sz w:val="20"/>
          <w:szCs w:val="20"/>
        </w:rPr>
        <w:t>„</w:t>
      </w:r>
      <w:r w:rsidR="00911754">
        <w:rPr>
          <w:rFonts w:asciiTheme="majorHAnsi" w:hAnsiTheme="majorHAnsi" w:cstheme="majorHAnsi"/>
          <w:i/>
          <w:sz w:val="20"/>
          <w:szCs w:val="20"/>
        </w:rPr>
        <w:t xml:space="preserve">Všeobecné </w:t>
      </w:r>
      <w:r>
        <w:rPr>
          <w:rFonts w:asciiTheme="majorHAnsi" w:hAnsiTheme="majorHAnsi" w:cstheme="majorHAnsi"/>
          <w:i/>
          <w:sz w:val="20"/>
          <w:szCs w:val="20"/>
        </w:rPr>
        <w:t>nariadenie“) umožňuje aplikáciu paušálnej sadzby na krytie ostatných nákladov projektu ako</w:t>
      </w:r>
      <w:r w:rsidR="00911754">
        <w:rPr>
          <w:rFonts w:asciiTheme="majorHAnsi" w:hAnsiTheme="majorHAnsi" w:cstheme="majorHAnsi"/>
          <w:i/>
          <w:sz w:val="20"/>
          <w:szCs w:val="20"/>
        </w:rPr>
        <w:t> </w:t>
      </w:r>
      <w:r>
        <w:rPr>
          <w:rFonts w:asciiTheme="majorHAnsi" w:hAnsiTheme="majorHAnsi" w:cstheme="majorHAnsi"/>
          <w:i/>
          <w:sz w:val="20"/>
          <w:szCs w:val="20"/>
        </w:rPr>
        <w:t>ich</w:t>
      </w:r>
      <w:r w:rsidR="00911754">
        <w:rPr>
          <w:rFonts w:asciiTheme="majorHAnsi" w:hAnsiTheme="majorHAnsi" w:cstheme="majorHAnsi"/>
          <w:i/>
          <w:sz w:val="20"/>
          <w:szCs w:val="20"/>
        </w:rPr>
        <w:t> </w:t>
      </w:r>
      <w:r>
        <w:rPr>
          <w:rFonts w:asciiTheme="majorHAnsi" w:hAnsiTheme="majorHAnsi" w:cstheme="majorHAnsi"/>
          <w:i/>
          <w:sz w:val="20"/>
          <w:szCs w:val="20"/>
        </w:rPr>
        <w:t>podielu na priamych nákladoch na zamestnancov až do výšky 40 % z uvedenej základne.</w:t>
      </w:r>
    </w:p>
    <w:p w14:paraId="0B7B49C0" w14:textId="77777777" w:rsidR="008709D9" w:rsidRDefault="008709D9" w:rsidP="008709D9">
      <w:pPr>
        <w:spacing w:line="231" w:lineRule="atLeast"/>
        <w:jc w:val="both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 xml:space="preserve">V súvislosti s §16a „Zjednodušené vykazovanie výdavkov“ odsek 3 zákona č. 292/2014 </w:t>
      </w:r>
      <w:proofErr w:type="spellStart"/>
      <w:r>
        <w:rPr>
          <w:rFonts w:asciiTheme="majorHAnsi" w:hAnsiTheme="majorHAnsi" w:cstheme="majorHAnsi"/>
          <w:i/>
          <w:sz w:val="20"/>
          <w:szCs w:val="20"/>
        </w:rPr>
        <w:t>Z.z</w:t>
      </w:r>
      <w:proofErr w:type="spellEnd"/>
      <w:r>
        <w:rPr>
          <w:rFonts w:asciiTheme="majorHAnsi" w:hAnsiTheme="majorHAnsi" w:cstheme="majorHAnsi"/>
          <w:i/>
          <w:sz w:val="20"/>
          <w:szCs w:val="20"/>
        </w:rPr>
        <w:t>. o príspevku poskytovanom z európskych štrukturálnych a investičných fondov a o zmene a doplnení niektorých zákonov (ďalej len “zákon o príspevku poskytovanom z EŠIF”) poskytovateľ pri výkone kontroly splnenia podmienok oprávnenosti výdavkov overuje najmä dosiahnutie výstupov alebo uskutočnenie procesov, pričom uvedeným konaním nie je dotknuté právo poskytovateľa v odôvodnených prípadoch</w:t>
      </w:r>
      <w:r>
        <w:rPr>
          <w:rFonts w:asciiTheme="majorHAnsi" w:hAnsiTheme="majorHAnsi" w:cstheme="majorHAnsi"/>
          <w:i/>
          <w:sz w:val="20"/>
          <w:szCs w:val="20"/>
          <w:vertAlign w:val="superscript"/>
        </w:rPr>
        <w:footnoteReference w:id="3"/>
      </w:r>
      <w:r>
        <w:rPr>
          <w:rFonts w:asciiTheme="majorHAnsi" w:hAnsiTheme="majorHAnsi" w:cstheme="majorHAnsi"/>
          <w:i/>
          <w:sz w:val="20"/>
          <w:szCs w:val="20"/>
        </w:rPr>
        <w:t xml:space="preserve"> overiť ďalšie skutočnosti súvisiace s projektom. </w:t>
      </w:r>
    </w:p>
    <w:p w14:paraId="218E6014" w14:textId="77777777" w:rsidR="008709D9" w:rsidRDefault="008709D9" w:rsidP="008709D9">
      <w:pPr>
        <w:spacing w:line="231" w:lineRule="atLeast"/>
        <w:jc w:val="both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>Poskytovateľ neoveruje výdavky, ktorými sú ostatné náklady skutočne vynaložené prijímateľom.</w:t>
      </w:r>
    </w:p>
    <w:p w14:paraId="5E7E8051" w14:textId="77777777" w:rsidR="008709D9" w:rsidRDefault="008709D9" w:rsidP="008709D9">
      <w:pPr>
        <w:spacing w:line="231" w:lineRule="atLeast"/>
        <w:jc w:val="both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>V súvislosti s §16a „Zjednodušené vykazovanie výdavkov“ odsek 5 zákona o príspevku poskytovanom z EŠIF je povinný prijímateľ pri realizácii ostatných nákladov dodržiavať podmienky vyplývajúce z osobitných predpisov</w:t>
      </w:r>
      <w:r>
        <w:rPr>
          <w:rFonts w:asciiTheme="majorHAnsi" w:hAnsiTheme="majorHAnsi" w:cstheme="majorHAnsi"/>
          <w:i/>
          <w:sz w:val="20"/>
          <w:szCs w:val="20"/>
          <w:vertAlign w:val="superscript"/>
        </w:rPr>
        <w:footnoteReference w:id="4"/>
      </w:r>
      <w:r>
        <w:rPr>
          <w:rFonts w:asciiTheme="majorHAnsi" w:hAnsiTheme="majorHAnsi" w:cstheme="majorHAnsi"/>
          <w:i/>
          <w:sz w:val="20"/>
          <w:szCs w:val="20"/>
        </w:rPr>
        <w:t xml:space="preserve">. </w:t>
      </w:r>
    </w:p>
    <w:p w14:paraId="360D8FD9" w14:textId="77777777" w:rsidR="008709D9" w:rsidRDefault="008709D9" w:rsidP="008709D9">
      <w:pPr>
        <w:spacing w:line="231" w:lineRule="atLeast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41544B4D" w14:textId="43AEA59F" w:rsidR="008709D9" w:rsidRPr="00853F9D" w:rsidRDefault="008709D9" w:rsidP="00853F9D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i/>
          <w:sz w:val="20"/>
          <w:szCs w:val="20"/>
        </w:rPr>
        <w:t>Uplatniteľné priame náklady na zamestnancov pri aplikovaní paušálnej sadzby sú určené výzvou</w:t>
      </w:r>
      <w:r w:rsidR="00853F9D">
        <w:rPr>
          <w:rFonts w:asciiTheme="majorHAnsi" w:hAnsiTheme="majorHAnsi" w:cstheme="majorHAnsi"/>
          <w:b/>
          <w:i/>
          <w:sz w:val="20"/>
          <w:szCs w:val="20"/>
        </w:rPr>
        <w:t xml:space="preserve"> a </w:t>
      </w:r>
      <w:r w:rsidR="00853F9D" w:rsidRPr="00853F9D">
        <w:rPr>
          <w:rFonts w:asciiTheme="majorHAnsi" w:hAnsiTheme="majorHAnsi" w:cstheme="majorHAnsi"/>
          <w:b/>
          <w:i/>
          <w:sz w:val="20"/>
          <w:szCs w:val="20"/>
        </w:rPr>
        <w:t>ostatné náklady nesmú byť zrealizované v rozpore so záväz</w:t>
      </w:r>
      <w:r w:rsidR="00853F9D">
        <w:rPr>
          <w:rFonts w:asciiTheme="majorHAnsi" w:hAnsiTheme="majorHAnsi" w:cstheme="majorHAnsi"/>
          <w:b/>
          <w:i/>
          <w:sz w:val="20"/>
          <w:szCs w:val="20"/>
        </w:rPr>
        <w:t xml:space="preserve">nými právnymi predpismi EÚ a SR </w:t>
      </w:r>
      <w:r w:rsidRPr="00853F9D">
        <w:rPr>
          <w:rFonts w:asciiTheme="majorHAnsi" w:hAnsiTheme="majorHAnsi" w:cstheme="majorHAnsi"/>
          <w:b/>
          <w:i/>
          <w:sz w:val="20"/>
          <w:szCs w:val="20"/>
        </w:rPr>
        <w:t>!</w:t>
      </w:r>
    </w:p>
    <w:p w14:paraId="400B389C" w14:textId="77777777" w:rsidR="00911754" w:rsidRDefault="00911754" w:rsidP="008709D9">
      <w:pPr>
        <w:jc w:val="both"/>
        <w:rPr>
          <w:rFonts w:ascii="Times New Roman" w:hAnsi="Times New Roman" w:cs="Times New Roman"/>
          <w:b/>
          <w:i/>
          <w:u w:val="single"/>
        </w:rPr>
      </w:pPr>
    </w:p>
    <w:p w14:paraId="6959AA30" w14:textId="19C9065B" w:rsidR="008709D9" w:rsidRPr="00853F9D" w:rsidRDefault="008709D9" w:rsidP="008709D9">
      <w:pPr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lastRenderedPageBreak/>
        <w:t xml:space="preserve">Nepriame osobné výdavky prijímateľa pre účely využívania postupov </w:t>
      </w:r>
      <w:r w:rsidR="00853F9D">
        <w:rPr>
          <w:rFonts w:asciiTheme="majorHAnsi" w:hAnsiTheme="majorHAnsi" w:cstheme="majorHAnsi"/>
          <w:i/>
          <w:sz w:val="20"/>
          <w:szCs w:val="20"/>
        </w:rPr>
        <w:t>zjednodušeného vykazovania výdavkov</w:t>
      </w:r>
      <w:r w:rsidRPr="00853F9D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853F9D">
        <w:rPr>
          <w:rFonts w:asciiTheme="majorHAnsi" w:hAnsiTheme="majorHAnsi" w:cstheme="majorHAnsi"/>
          <w:i/>
          <w:sz w:val="20"/>
          <w:szCs w:val="20"/>
        </w:rPr>
        <w:t>predstavujú</w:t>
      </w:r>
      <w:r w:rsidRPr="00853F9D">
        <w:rPr>
          <w:rFonts w:asciiTheme="majorHAnsi" w:hAnsiTheme="majorHAnsi" w:cstheme="majorHAnsi"/>
          <w:i/>
          <w:sz w:val="20"/>
          <w:szCs w:val="20"/>
        </w:rPr>
        <w:t xml:space="preserve"> výdavky, ktoré súvisia s výkonom týchto činností:</w:t>
      </w:r>
    </w:p>
    <w:p w14:paraId="15B4A478" w14:textId="58F9B9E5" w:rsidR="00911754" w:rsidRPr="00897068" w:rsidRDefault="00911754" w:rsidP="008709D9">
      <w:pPr>
        <w:pStyle w:val="Odsekzoznamu"/>
        <w:numPr>
          <w:ilvl w:val="0"/>
          <w:numId w:val="9"/>
        </w:numPr>
        <w:spacing w:after="20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97068">
        <w:rPr>
          <w:rFonts w:asciiTheme="majorHAnsi" w:hAnsiTheme="majorHAnsi" w:cstheme="majorHAnsi"/>
          <w:i/>
          <w:sz w:val="20"/>
          <w:szCs w:val="20"/>
        </w:rPr>
        <w:t>riadenie projektu, projektové riadenie, finančné riadenie projektu, monitorovanie projektu,</w:t>
      </w:r>
    </w:p>
    <w:p w14:paraId="2FE2F4EA" w14:textId="77777777" w:rsidR="008709D9" w:rsidRPr="00897068" w:rsidRDefault="008709D9" w:rsidP="008709D9">
      <w:pPr>
        <w:pStyle w:val="Odsekzoznamu"/>
        <w:numPr>
          <w:ilvl w:val="0"/>
          <w:numId w:val="9"/>
        </w:numPr>
        <w:spacing w:after="20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97068">
        <w:rPr>
          <w:rFonts w:asciiTheme="majorHAnsi" w:hAnsiTheme="majorHAnsi" w:cstheme="majorHAnsi"/>
          <w:i/>
          <w:sz w:val="20"/>
          <w:szCs w:val="20"/>
        </w:rPr>
        <w:t>právne poradenstvo (napr. spisovanie listín o právnych úkonoch, spracúvanie právnych rozborov),</w:t>
      </w:r>
    </w:p>
    <w:p w14:paraId="30DA8A0D" w14:textId="77777777" w:rsidR="008709D9" w:rsidRPr="00897068" w:rsidRDefault="008709D9" w:rsidP="008709D9">
      <w:pPr>
        <w:pStyle w:val="Odsekzoznamu"/>
        <w:numPr>
          <w:ilvl w:val="0"/>
          <w:numId w:val="9"/>
        </w:numPr>
        <w:spacing w:after="20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97068">
        <w:rPr>
          <w:rFonts w:asciiTheme="majorHAnsi" w:hAnsiTheme="majorHAnsi" w:cstheme="majorHAnsi"/>
          <w:i/>
          <w:sz w:val="20"/>
          <w:szCs w:val="20"/>
        </w:rPr>
        <w:t>publicita a informovanosť projektu,</w:t>
      </w:r>
    </w:p>
    <w:p w14:paraId="4AEEF4C8" w14:textId="77777777" w:rsidR="008709D9" w:rsidRPr="00897068" w:rsidRDefault="008709D9" w:rsidP="008709D9">
      <w:pPr>
        <w:pStyle w:val="Odsekzoznamu"/>
        <w:numPr>
          <w:ilvl w:val="0"/>
          <w:numId w:val="9"/>
        </w:numPr>
        <w:spacing w:after="20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97068">
        <w:rPr>
          <w:rFonts w:asciiTheme="majorHAnsi" w:hAnsiTheme="majorHAnsi" w:cstheme="majorHAnsi"/>
          <w:i/>
          <w:sz w:val="20"/>
          <w:szCs w:val="20"/>
        </w:rPr>
        <w:t>vedenie účtovníctva,</w:t>
      </w:r>
    </w:p>
    <w:p w14:paraId="4C317140" w14:textId="77777777" w:rsidR="008709D9" w:rsidRPr="00897068" w:rsidRDefault="008709D9" w:rsidP="008709D9">
      <w:pPr>
        <w:pStyle w:val="Odsekzoznamu"/>
        <w:numPr>
          <w:ilvl w:val="0"/>
          <w:numId w:val="9"/>
        </w:numPr>
        <w:spacing w:after="20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97068">
        <w:rPr>
          <w:rFonts w:asciiTheme="majorHAnsi" w:hAnsiTheme="majorHAnsi" w:cstheme="majorHAnsi"/>
          <w:i/>
          <w:sz w:val="20"/>
          <w:szCs w:val="20"/>
        </w:rPr>
        <w:t>vedenie agendy personalistiky a miezd,</w:t>
      </w:r>
    </w:p>
    <w:p w14:paraId="1FD280DD" w14:textId="77777777" w:rsidR="008709D9" w:rsidRPr="00897068" w:rsidRDefault="008709D9" w:rsidP="008709D9">
      <w:pPr>
        <w:pStyle w:val="Odsekzoznamu"/>
        <w:numPr>
          <w:ilvl w:val="0"/>
          <w:numId w:val="9"/>
        </w:numPr>
        <w:spacing w:after="20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97068">
        <w:rPr>
          <w:rFonts w:asciiTheme="majorHAnsi" w:hAnsiTheme="majorHAnsi" w:cstheme="majorHAnsi"/>
          <w:i/>
          <w:sz w:val="20"/>
          <w:szCs w:val="20"/>
        </w:rPr>
        <w:t>verejného obstarávania (vrátane prieskumu trhu),</w:t>
      </w:r>
    </w:p>
    <w:p w14:paraId="69A6653D" w14:textId="77777777" w:rsidR="008709D9" w:rsidRPr="00897068" w:rsidRDefault="008709D9" w:rsidP="008709D9">
      <w:pPr>
        <w:pStyle w:val="Odsekzoznamu"/>
        <w:numPr>
          <w:ilvl w:val="0"/>
          <w:numId w:val="9"/>
        </w:numPr>
        <w:spacing w:after="20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97068">
        <w:rPr>
          <w:rFonts w:asciiTheme="majorHAnsi" w:hAnsiTheme="majorHAnsi" w:cstheme="majorHAnsi"/>
          <w:i/>
          <w:sz w:val="20"/>
          <w:szCs w:val="20"/>
        </w:rPr>
        <w:t>obslužné činnosti (upratovanie, čistenie, rozmnožovanie materiálov a pod.),</w:t>
      </w:r>
    </w:p>
    <w:p w14:paraId="2F86D5E3" w14:textId="77777777" w:rsidR="008709D9" w:rsidRPr="00897068" w:rsidRDefault="008709D9" w:rsidP="008709D9">
      <w:pPr>
        <w:pStyle w:val="Odsekzoznamu"/>
        <w:numPr>
          <w:ilvl w:val="0"/>
          <w:numId w:val="9"/>
        </w:numPr>
        <w:spacing w:after="20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97068">
        <w:rPr>
          <w:rFonts w:asciiTheme="majorHAnsi" w:hAnsiTheme="majorHAnsi" w:cstheme="majorHAnsi"/>
          <w:i/>
          <w:sz w:val="20"/>
          <w:szCs w:val="20"/>
        </w:rPr>
        <w:t xml:space="preserve">opravy a údržbu majetku využívaného pre účely projektu, </w:t>
      </w:r>
    </w:p>
    <w:p w14:paraId="62C8418D" w14:textId="77777777" w:rsidR="008709D9" w:rsidRPr="00897068" w:rsidRDefault="008709D9" w:rsidP="008709D9">
      <w:pPr>
        <w:pStyle w:val="Odsekzoznamu"/>
        <w:numPr>
          <w:ilvl w:val="0"/>
          <w:numId w:val="9"/>
        </w:numPr>
        <w:spacing w:after="20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97068">
        <w:rPr>
          <w:rFonts w:asciiTheme="majorHAnsi" w:hAnsiTheme="majorHAnsi" w:cstheme="majorHAnsi"/>
          <w:i/>
          <w:sz w:val="20"/>
          <w:szCs w:val="20"/>
        </w:rPr>
        <w:t>vedenie vozidla využívaného personálom projektu,</w:t>
      </w:r>
    </w:p>
    <w:p w14:paraId="3787A121" w14:textId="77777777" w:rsidR="008709D9" w:rsidRPr="00897068" w:rsidRDefault="008709D9" w:rsidP="008709D9">
      <w:pPr>
        <w:pStyle w:val="Odsekzoznamu"/>
        <w:numPr>
          <w:ilvl w:val="0"/>
          <w:numId w:val="9"/>
        </w:numPr>
        <w:spacing w:after="20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97068">
        <w:rPr>
          <w:rFonts w:asciiTheme="majorHAnsi" w:hAnsiTheme="majorHAnsi" w:cstheme="majorHAnsi"/>
          <w:i/>
          <w:sz w:val="20"/>
          <w:szCs w:val="20"/>
        </w:rPr>
        <w:t>kontrola a odborný dohľad (vrátane riadenia organizácie).</w:t>
      </w:r>
    </w:p>
    <w:p w14:paraId="693D3FD5" w14:textId="7FC88148" w:rsidR="008709D9" w:rsidRPr="00853F9D" w:rsidRDefault="008709D9" w:rsidP="008709D9">
      <w:pPr>
        <w:jc w:val="both"/>
        <w:rPr>
          <w:rFonts w:asciiTheme="majorHAnsi" w:hAnsiTheme="majorHAnsi" w:cstheme="majorHAnsi"/>
          <w:i/>
          <w:sz w:val="20"/>
          <w:szCs w:val="20"/>
          <w:lang w:val="en-US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Všetky výdavky, ktoré nespĺňajú podmienku zaradenia do kategórie priamych výdavkov na vlastných zamestnancov prijímateľa budú zaradené do kategórie „ostatné výdavky“. Okrem vyššie definovaných nepriamych personálnych výdavkov prijímateľa ide o nasledovné typy výdavkov:</w:t>
      </w:r>
    </w:p>
    <w:p w14:paraId="6DC6CE34" w14:textId="77777777" w:rsidR="008709D9" w:rsidRPr="00853F9D" w:rsidRDefault="008709D9" w:rsidP="008709D9">
      <w:pPr>
        <w:numPr>
          <w:ilvl w:val="0"/>
          <w:numId w:val="10"/>
        </w:numPr>
        <w:spacing w:before="120" w:after="120" w:line="240" w:lineRule="auto"/>
        <w:ind w:left="567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výdavky na obstaranie služieb:</w:t>
      </w:r>
    </w:p>
    <w:p w14:paraId="7EE19C72" w14:textId="77777777" w:rsidR="008709D9" w:rsidRPr="00853F9D" w:rsidRDefault="008709D9" w:rsidP="008709D9">
      <w:pPr>
        <w:numPr>
          <w:ilvl w:val="1"/>
          <w:numId w:val="11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externé služby súvisiace s publicitou a informovanosťou spojenou s realizáciou projektu,</w:t>
      </w:r>
    </w:p>
    <w:p w14:paraId="303BAF7C" w14:textId="77777777" w:rsidR="008709D9" w:rsidRPr="00853F9D" w:rsidRDefault="008709D9" w:rsidP="008709D9">
      <w:pPr>
        <w:numPr>
          <w:ilvl w:val="1"/>
          <w:numId w:val="11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externé vedenie účtovníctva,</w:t>
      </w:r>
    </w:p>
    <w:p w14:paraId="7CC7FB70" w14:textId="77777777" w:rsidR="008709D9" w:rsidRPr="00853F9D" w:rsidRDefault="008709D9" w:rsidP="008709D9">
      <w:pPr>
        <w:numPr>
          <w:ilvl w:val="1"/>
          <w:numId w:val="11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externé vedenie agendy personalistiky a miezd,</w:t>
      </w:r>
    </w:p>
    <w:p w14:paraId="1F05FE43" w14:textId="77777777" w:rsidR="008709D9" w:rsidRPr="00853F9D" w:rsidRDefault="008709D9" w:rsidP="008709D9">
      <w:pPr>
        <w:numPr>
          <w:ilvl w:val="1"/>
          <w:numId w:val="11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externé zabezpečenie verejného obstarávania, prieskumu trhu,</w:t>
      </w:r>
    </w:p>
    <w:p w14:paraId="43F80C82" w14:textId="77777777" w:rsidR="008709D9" w:rsidRPr="00853F9D" w:rsidRDefault="008709D9" w:rsidP="008709D9">
      <w:pPr>
        <w:numPr>
          <w:ilvl w:val="1"/>
          <w:numId w:val="11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 xml:space="preserve">externé zabezpečenie hygieny (upratovanie, čistenie a pod.), </w:t>
      </w:r>
    </w:p>
    <w:p w14:paraId="1E04AB99" w14:textId="77777777" w:rsidR="008709D9" w:rsidRPr="00853F9D" w:rsidRDefault="008709D9" w:rsidP="008709D9">
      <w:pPr>
        <w:numPr>
          <w:ilvl w:val="1"/>
          <w:numId w:val="11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externé zabezpečenie opráv a údržby majetku využívaného pre účely projektu,</w:t>
      </w:r>
    </w:p>
    <w:p w14:paraId="3437D44A" w14:textId="77777777" w:rsidR="008709D9" w:rsidRPr="00853F9D" w:rsidRDefault="008709D9" w:rsidP="008709D9">
      <w:pPr>
        <w:numPr>
          <w:ilvl w:val="1"/>
          <w:numId w:val="11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externé zabezpečenie prepravy tovaru a osôb, okrem osôb cieľovej skupiny a odborného personálu (napr. lektorov),</w:t>
      </w:r>
    </w:p>
    <w:p w14:paraId="5CD7EE34" w14:textId="77777777" w:rsidR="008709D9" w:rsidRPr="00853F9D" w:rsidRDefault="008709D9" w:rsidP="008709D9">
      <w:pPr>
        <w:numPr>
          <w:ilvl w:val="1"/>
          <w:numId w:val="11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externé zabezpečenie kontroly a odborného dohľadu,</w:t>
      </w:r>
    </w:p>
    <w:p w14:paraId="62DA1A21" w14:textId="77777777" w:rsidR="008709D9" w:rsidRPr="00853F9D" w:rsidRDefault="008709D9" w:rsidP="008709D9">
      <w:pPr>
        <w:numPr>
          <w:ilvl w:val="1"/>
          <w:numId w:val="11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externé zabezpečenie právneho poradenstva,</w:t>
      </w:r>
    </w:p>
    <w:p w14:paraId="64294AA3" w14:textId="4460C30D" w:rsidR="008709D9" w:rsidRPr="00853F9D" w:rsidRDefault="008709D9" w:rsidP="008709D9">
      <w:pPr>
        <w:numPr>
          <w:ilvl w:val="0"/>
          <w:numId w:val="12"/>
        </w:numPr>
        <w:spacing w:before="120" w:after="120" w:line="240" w:lineRule="auto"/>
        <w:ind w:left="567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bežné výdavky na obstaranie majetku</w:t>
      </w:r>
      <w:r w:rsidR="00911754" w:rsidRPr="00853F9D">
        <w:rPr>
          <w:rFonts w:asciiTheme="majorHAnsi" w:hAnsiTheme="majorHAnsi" w:cstheme="majorHAnsi"/>
          <w:i/>
          <w:sz w:val="20"/>
          <w:szCs w:val="20"/>
          <w:vertAlign w:val="superscript"/>
        </w:rPr>
        <w:footnoteReference w:id="5"/>
      </w:r>
      <w:r w:rsidRPr="00853F9D">
        <w:rPr>
          <w:rFonts w:asciiTheme="majorHAnsi" w:hAnsiTheme="majorHAnsi" w:cstheme="majorHAnsi"/>
          <w:i/>
          <w:sz w:val="20"/>
          <w:szCs w:val="20"/>
        </w:rPr>
        <w:t>,</w:t>
      </w:r>
    </w:p>
    <w:p w14:paraId="1F214993" w14:textId="77777777" w:rsidR="008709D9" w:rsidRPr="00853F9D" w:rsidRDefault="008709D9" w:rsidP="008709D9">
      <w:pPr>
        <w:numPr>
          <w:ilvl w:val="0"/>
          <w:numId w:val="13"/>
        </w:numPr>
        <w:spacing w:before="120" w:after="120" w:line="240" w:lineRule="auto"/>
        <w:ind w:left="567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ostatné výdavky:</w:t>
      </w:r>
    </w:p>
    <w:p w14:paraId="5B1057A1" w14:textId="77777777" w:rsidR="008709D9" w:rsidRPr="00853F9D" w:rsidRDefault="008709D9" w:rsidP="008709D9">
      <w:pPr>
        <w:numPr>
          <w:ilvl w:val="1"/>
          <w:numId w:val="14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prenájom zariadenia/vybavenia a priestorov, ktoré sú využívané na účely projektu,</w:t>
      </w:r>
    </w:p>
    <w:p w14:paraId="1CFEA36B" w14:textId="77777777" w:rsidR="008709D9" w:rsidRPr="00853F9D" w:rsidRDefault="008709D9" w:rsidP="008709D9">
      <w:pPr>
        <w:numPr>
          <w:ilvl w:val="1"/>
          <w:numId w:val="14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všetky výdavky súvisiace s publicitou a informovanosťou spojenou s realizáciou projektu, napr. propagačné predmety a letáky, tlačové konferencie o projekte (vrátane občerstvenia, prenájmu priestorov a pod.), publikovaním článkov o projekte, televíznych a rozhlasových relácií a pod.,</w:t>
      </w:r>
    </w:p>
    <w:p w14:paraId="6FCFF0DF" w14:textId="77777777" w:rsidR="008709D9" w:rsidRPr="00853F9D" w:rsidRDefault="008709D9" w:rsidP="00911754">
      <w:pPr>
        <w:numPr>
          <w:ilvl w:val="1"/>
          <w:numId w:val="14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poštovné a telekomunikačné poplatky,</w:t>
      </w:r>
    </w:p>
    <w:p w14:paraId="17589346" w14:textId="77777777" w:rsidR="008709D9" w:rsidRPr="00853F9D" w:rsidRDefault="008709D9" w:rsidP="008709D9">
      <w:pPr>
        <w:numPr>
          <w:ilvl w:val="1"/>
          <w:numId w:val="14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ceniny (poštové známky a kolky, stravné poukážky pre zamestnancov vykonávajúcich činnosti pre projekt),</w:t>
      </w:r>
    </w:p>
    <w:p w14:paraId="3C16AC70" w14:textId="77777777" w:rsidR="008709D9" w:rsidRPr="00853F9D" w:rsidRDefault="008709D9" w:rsidP="008709D9">
      <w:pPr>
        <w:numPr>
          <w:ilvl w:val="1"/>
          <w:numId w:val="14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cestovné náhrady pre zamestnancov vykonávajúcich činnosti pre projekt,</w:t>
      </w:r>
    </w:p>
    <w:p w14:paraId="4CE20D84" w14:textId="77777777" w:rsidR="008709D9" w:rsidRPr="00853F9D" w:rsidRDefault="008709D9" w:rsidP="008709D9">
      <w:pPr>
        <w:numPr>
          <w:ilvl w:val="1"/>
          <w:numId w:val="14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výdavky na prevádzku vozidla využívaného pri vykonávaní činnosti pre projekt,</w:t>
      </w:r>
    </w:p>
    <w:p w14:paraId="172D7013" w14:textId="77777777" w:rsidR="008709D9" w:rsidRPr="00853F9D" w:rsidRDefault="008709D9" w:rsidP="008709D9">
      <w:pPr>
        <w:numPr>
          <w:ilvl w:val="1"/>
          <w:numId w:val="14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 xml:space="preserve">výdavky na energie ako sú voda, plyn, elektrická energia a pod., ktoré vznikli v súvislosti s vykonávanými činnosťami pre projekt, </w:t>
      </w:r>
    </w:p>
    <w:p w14:paraId="45314AB0" w14:textId="77777777" w:rsidR="008709D9" w:rsidRPr="00853F9D" w:rsidRDefault="008709D9" w:rsidP="008709D9">
      <w:pPr>
        <w:numPr>
          <w:ilvl w:val="1"/>
          <w:numId w:val="14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odpisy majetku využívaného pri činnostiach projektu,</w:t>
      </w:r>
    </w:p>
    <w:p w14:paraId="0F0B2E36" w14:textId="77777777" w:rsidR="008709D9" w:rsidRPr="00853F9D" w:rsidRDefault="008709D9" w:rsidP="008709D9">
      <w:pPr>
        <w:numPr>
          <w:ilvl w:val="1"/>
          <w:numId w:val="14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výdavky na obstaranie spotrebného tovaru a prevádzkového materiálu (papier, písacie potreby, čistiace prostriedky a pod.),</w:t>
      </w:r>
    </w:p>
    <w:p w14:paraId="3AF89327" w14:textId="48F24BCA" w:rsidR="008709D9" w:rsidRPr="00853F9D" w:rsidRDefault="008709D9" w:rsidP="008709D9">
      <w:pPr>
        <w:numPr>
          <w:ilvl w:val="1"/>
          <w:numId w:val="14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výdavky na úhradu poplatkov</w:t>
      </w:r>
      <w:r w:rsidR="00853F9D" w:rsidRPr="00853F9D">
        <w:rPr>
          <w:rFonts w:asciiTheme="majorHAnsi" w:hAnsiTheme="majorHAnsi" w:cstheme="majorHAnsi"/>
          <w:i/>
          <w:sz w:val="20"/>
          <w:szCs w:val="20"/>
          <w:vertAlign w:val="superscript"/>
        </w:rPr>
        <w:footnoteReference w:id="6"/>
      </w:r>
      <w:r w:rsidRPr="00853F9D">
        <w:rPr>
          <w:rFonts w:asciiTheme="majorHAnsi" w:hAnsiTheme="majorHAnsi" w:cstheme="majorHAnsi"/>
          <w:i/>
          <w:sz w:val="20"/>
          <w:szCs w:val="20"/>
        </w:rPr>
        <w:t>, napr. notárskych, správnych, bankových poplatkov,</w:t>
      </w:r>
    </w:p>
    <w:p w14:paraId="6D320838" w14:textId="77777777" w:rsidR="008709D9" w:rsidRPr="00853F9D" w:rsidRDefault="008709D9" w:rsidP="008709D9">
      <w:pPr>
        <w:numPr>
          <w:ilvl w:val="1"/>
          <w:numId w:val="14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lastRenderedPageBreak/>
        <w:t>výdavky na poradenstvo (právne, daňové, účtovné a pod.),</w:t>
      </w:r>
    </w:p>
    <w:p w14:paraId="3372505E" w14:textId="77777777" w:rsidR="008709D9" w:rsidRPr="00853F9D" w:rsidRDefault="008709D9" w:rsidP="008709D9">
      <w:pPr>
        <w:numPr>
          <w:ilvl w:val="1"/>
          <w:numId w:val="14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poistenie majetku,</w:t>
      </w:r>
    </w:p>
    <w:p w14:paraId="43820216" w14:textId="77777777" w:rsidR="008709D9" w:rsidRPr="00853F9D" w:rsidRDefault="008709D9" w:rsidP="008709D9">
      <w:pPr>
        <w:numPr>
          <w:ilvl w:val="1"/>
          <w:numId w:val="14"/>
        </w:numPr>
        <w:spacing w:after="0" w:line="240" w:lineRule="auto"/>
        <w:ind w:left="1434" w:hanging="357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správa informačných systémov.</w:t>
      </w:r>
    </w:p>
    <w:p w14:paraId="6D96DAF5" w14:textId="77777777" w:rsidR="008709D9" w:rsidRPr="00853F9D" w:rsidRDefault="008709D9" w:rsidP="008709D9">
      <w:pPr>
        <w:jc w:val="both"/>
        <w:rPr>
          <w:rFonts w:cstheme="minorHAnsi"/>
          <w:i/>
        </w:rPr>
      </w:pPr>
    </w:p>
    <w:p w14:paraId="4F5AE875" w14:textId="66074BC8" w:rsidR="008709D9" w:rsidRPr="00853F9D" w:rsidRDefault="008709D9" w:rsidP="008709D9">
      <w:pPr>
        <w:spacing w:line="231" w:lineRule="atLeast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 xml:space="preserve">RO pre OP EVS </w:t>
      </w:r>
      <w:r w:rsidRPr="00853F9D">
        <w:rPr>
          <w:rFonts w:asciiTheme="majorHAnsi" w:hAnsiTheme="majorHAnsi" w:cstheme="majorHAnsi"/>
          <w:i/>
          <w:sz w:val="20"/>
          <w:szCs w:val="20"/>
          <w:u w:val="single"/>
        </w:rPr>
        <w:t>overuje realizáciu aktivít projektu, plnenie stanovených cieľov a merateľných ukazovateľov projektov,</w:t>
      </w:r>
      <w:r w:rsidRPr="00853F9D">
        <w:rPr>
          <w:rFonts w:asciiTheme="majorHAnsi" w:hAnsiTheme="majorHAnsi" w:cstheme="majorHAnsi"/>
          <w:i/>
          <w:sz w:val="20"/>
          <w:szCs w:val="20"/>
        </w:rPr>
        <w:t xml:space="preserve"> pri ktorých sa uplatňujú procesy zjednodušeného vykazovania výdavkov prostredníctvom štandardných postupov definovaných v</w:t>
      </w:r>
      <w:r w:rsidR="00853F9D">
        <w:rPr>
          <w:rFonts w:asciiTheme="majorHAnsi" w:hAnsiTheme="majorHAnsi" w:cstheme="majorHAnsi"/>
          <w:i/>
          <w:sz w:val="20"/>
          <w:szCs w:val="20"/>
        </w:rPr>
        <w:t> riadiacej dokumentácii OP EVS.</w:t>
      </w:r>
    </w:p>
    <w:p w14:paraId="6D94A94B" w14:textId="77777777" w:rsidR="008709D9" w:rsidRDefault="008709D9" w:rsidP="008709D9">
      <w:pPr>
        <w:jc w:val="both"/>
        <w:rPr>
          <w:rFonts w:cstheme="minorHAnsi"/>
        </w:rPr>
      </w:pPr>
    </w:p>
    <w:p w14:paraId="28120C5E" w14:textId="77777777" w:rsidR="00D37046" w:rsidRPr="00D37046" w:rsidRDefault="00D37046" w:rsidP="00D37046">
      <w:pPr>
        <w:jc w:val="both"/>
        <w:rPr>
          <w:rFonts w:ascii="Times New Roman" w:hAnsi="Times New Roman" w:cs="Times New Roman"/>
        </w:rPr>
      </w:pPr>
    </w:p>
    <w:sectPr w:rsidR="00D37046" w:rsidRPr="00D37046" w:rsidSect="00C016F0">
      <w:headerReference w:type="default" r:id="rId11"/>
      <w:headerReference w:type="first" r:id="rId12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0E1C9" w14:textId="77777777" w:rsidR="00B0124C" w:rsidRDefault="00B0124C" w:rsidP="00534853">
      <w:pPr>
        <w:spacing w:after="0" w:line="240" w:lineRule="auto"/>
      </w:pPr>
      <w:r>
        <w:separator/>
      </w:r>
    </w:p>
  </w:endnote>
  <w:endnote w:type="continuationSeparator" w:id="0">
    <w:p w14:paraId="55AF77EA" w14:textId="77777777" w:rsidR="00B0124C" w:rsidRDefault="00B0124C" w:rsidP="0053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DA537" w14:textId="77777777" w:rsidR="00B0124C" w:rsidRDefault="00B0124C" w:rsidP="00534853">
      <w:pPr>
        <w:spacing w:after="0" w:line="240" w:lineRule="auto"/>
      </w:pPr>
      <w:r>
        <w:separator/>
      </w:r>
    </w:p>
  </w:footnote>
  <w:footnote w:type="continuationSeparator" w:id="0">
    <w:p w14:paraId="1B8DAA26" w14:textId="77777777" w:rsidR="00B0124C" w:rsidRDefault="00B0124C" w:rsidP="00534853">
      <w:pPr>
        <w:spacing w:after="0" w:line="240" w:lineRule="auto"/>
      </w:pPr>
      <w:r>
        <w:continuationSeparator/>
      </w:r>
    </w:p>
  </w:footnote>
  <w:footnote w:id="1">
    <w:p w14:paraId="399626D4" w14:textId="77777777" w:rsidR="00F952C7" w:rsidRPr="00AE19E5" w:rsidRDefault="00F952C7" w:rsidP="00AE19E5">
      <w:pPr>
        <w:pStyle w:val="Textpoznmkypodiarou"/>
        <w:jc w:val="both"/>
        <w:rPr>
          <w:rFonts w:ascii="Times New Roman" w:hAnsi="Times New Roman" w:cs="Times New Roman"/>
          <w:sz w:val="16"/>
          <w:szCs w:val="16"/>
        </w:rPr>
      </w:pPr>
      <w:r w:rsidRPr="00AE19E5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AE19E5">
        <w:rPr>
          <w:rFonts w:ascii="Times New Roman" w:hAnsi="Times New Roman" w:cs="Times New Roman"/>
          <w:sz w:val="16"/>
          <w:szCs w:val="16"/>
        </w:rPr>
        <w:t xml:space="preserve"> Pre personálne výdavky platí, že nesmú presiahnuť výšku obvyklú v danom odbore, čase a mieste a musia byť primerané úlohám a zodpovednostiam osôb zapojených do realizácie projektu. V prípade osobných výdavkov je nevyhnutné, aby žiadateľ/partner rešpektoval odmeňovanie jednotlivých pracovných pozícií s ohľadom na jeho predchádzajúcu mzdovú politiku vrátane vyplatenia odmien. Pri uplatňovaní zjednodušeného vykazovania výdavkov je žiadateľ/partner povinný deklarovať predchádzajúcu mzdovú politiku zamestnávateľa týkajúcej sa miezd a odmien (resp. prémií alebo rôznych variabilných zložiek naviazaných napr. na hospodárske výsledky žiadateľa/partner) prehľadom miezd a odmien, ktorý žiadateľ predložil k záväznému návrhu Rozpočtu projektu, ktorý slúži na určenie výšky paušálnej sadzby. Údaje musia vychádzať z reálnych podkladov (platové dekréty zamestnancov) a musia byť overiteľné v čase odborného hodnotenia </w:t>
      </w:r>
      <w:proofErr w:type="spellStart"/>
      <w:r w:rsidRPr="00AE19E5">
        <w:rPr>
          <w:rFonts w:ascii="Times New Roman" w:hAnsi="Times New Roman" w:cs="Times New Roman"/>
          <w:sz w:val="16"/>
          <w:szCs w:val="16"/>
        </w:rPr>
        <w:t>ŽoNFP</w:t>
      </w:r>
      <w:proofErr w:type="spellEnd"/>
      <w:r w:rsidRPr="00AE19E5">
        <w:rPr>
          <w:rFonts w:ascii="Times New Roman" w:hAnsi="Times New Roman" w:cs="Times New Roman"/>
          <w:sz w:val="16"/>
          <w:szCs w:val="16"/>
        </w:rPr>
        <w:t xml:space="preserve">, ako aj v priebehu implementácie projektu. </w:t>
      </w:r>
    </w:p>
    <w:p w14:paraId="6E1770F7" w14:textId="63E516A7" w:rsidR="008709D9" w:rsidRPr="00AE19E5" w:rsidRDefault="008709D9" w:rsidP="00AE19E5">
      <w:pPr>
        <w:pStyle w:val="Textpoznmkypodiarou"/>
        <w:jc w:val="both"/>
        <w:rPr>
          <w:rFonts w:ascii="Times New Roman" w:hAnsi="Times New Roman" w:cs="Times New Roman"/>
          <w:sz w:val="16"/>
          <w:szCs w:val="16"/>
        </w:rPr>
      </w:pPr>
      <w:r w:rsidRPr="00AE19E5">
        <w:rPr>
          <w:rFonts w:ascii="Times New Roman" w:hAnsi="Times New Roman" w:cs="Times New Roman"/>
          <w:sz w:val="16"/>
          <w:szCs w:val="16"/>
        </w:rPr>
        <w:t>V prípade, že subjekt žiadateľa alebo partnera nedisponuje príslušnou alebo dostatočnou evidenciou pre spracovanie predchádzajúcej mzdovej politiky zamestnávateľa môže pre určenie oprávnenej výšky výdavkov použiť overiteľné údaje iného zamestnávateľa</w:t>
      </w:r>
      <w:r w:rsidR="00AE19E5" w:rsidRPr="00AE19E5">
        <w:rPr>
          <w:rFonts w:ascii="Times New Roman" w:hAnsi="Times New Roman" w:cs="Times New Roman"/>
          <w:sz w:val="16"/>
          <w:szCs w:val="16"/>
        </w:rPr>
        <w:t xml:space="preserve"> (tretieho subjektu)</w:t>
      </w:r>
      <w:r w:rsidRPr="00AE19E5">
        <w:rPr>
          <w:rFonts w:ascii="Times New Roman" w:hAnsi="Times New Roman" w:cs="Times New Roman"/>
          <w:sz w:val="16"/>
          <w:szCs w:val="16"/>
        </w:rPr>
        <w:t>, ktorý je subjektom založeným v rovnakom právnom režime (mesto alebo obec) a zároveň je rovnako územne lokalizovaný ako subjekt žiadateľa / prijímateľa (napr. v úrovni okresu).</w:t>
      </w:r>
      <w:r w:rsidR="00AE19E5" w:rsidRPr="00AE19E5">
        <w:rPr>
          <w:rFonts w:ascii="Times New Roman" w:hAnsi="Times New Roman" w:cs="Times New Roman"/>
          <w:sz w:val="16"/>
          <w:szCs w:val="16"/>
        </w:rPr>
        <w:t xml:space="preserve"> V rámci mzdovej politiky zamestnávateľa je potrebné potom označiť údaje tretieho subjektu a zároveň musí žiadateľ / prijímateľ disponovať písomným potvrdením tretieho subjektu s vyhlásením o pravdivosti poskytnutých údajov.</w:t>
      </w:r>
    </w:p>
  </w:footnote>
  <w:footnote w:id="2">
    <w:p w14:paraId="17BCC594" w14:textId="5AD8D2BB" w:rsidR="008709D9" w:rsidRPr="00AE19E5" w:rsidRDefault="008709D9" w:rsidP="00AE1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E19E5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AE19E5">
        <w:rPr>
          <w:rFonts w:ascii="Times New Roman" w:hAnsi="Times New Roman" w:cs="Times New Roman"/>
          <w:sz w:val="16"/>
          <w:szCs w:val="16"/>
        </w:rPr>
        <w:t xml:space="preserve"> </w:t>
      </w:r>
      <w:r w:rsidR="00AE19E5" w:rsidRPr="00AE19E5">
        <w:rPr>
          <w:rFonts w:ascii="Times New Roman" w:hAnsi="Times New Roman" w:cs="Times New Roman"/>
          <w:sz w:val="16"/>
          <w:szCs w:val="16"/>
        </w:rPr>
        <w:t>Uvedené</w:t>
      </w:r>
      <w:r w:rsidRPr="00AE19E5">
        <w:rPr>
          <w:rFonts w:ascii="Times New Roman" w:hAnsi="Times New Roman" w:cs="Times New Roman"/>
          <w:sz w:val="16"/>
          <w:szCs w:val="16"/>
        </w:rPr>
        <w:t xml:space="preserve"> </w:t>
      </w:r>
      <w:r w:rsidR="00AE19E5" w:rsidRPr="00AE19E5">
        <w:rPr>
          <w:rFonts w:ascii="Times New Roman" w:hAnsi="Times New Roman" w:cs="Times New Roman"/>
          <w:sz w:val="16"/>
          <w:szCs w:val="16"/>
        </w:rPr>
        <w:t>pracovné</w:t>
      </w:r>
      <w:r w:rsidRPr="00AE19E5">
        <w:rPr>
          <w:rFonts w:ascii="Times New Roman" w:hAnsi="Times New Roman" w:cs="Times New Roman"/>
          <w:sz w:val="16"/>
          <w:szCs w:val="16"/>
        </w:rPr>
        <w:t xml:space="preserve"> </w:t>
      </w:r>
      <w:r w:rsidR="00AE19E5" w:rsidRPr="00AE19E5">
        <w:rPr>
          <w:rFonts w:ascii="Times New Roman" w:hAnsi="Times New Roman" w:cs="Times New Roman"/>
          <w:sz w:val="16"/>
          <w:szCs w:val="16"/>
        </w:rPr>
        <w:t>pozície</w:t>
      </w:r>
      <w:r w:rsidRPr="00AE19E5">
        <w:rPr>
          <w:rFonts w:ascii="Times New Roman" w:hAnsi="Times New Roman" w:cs="Times New Roman"/>
          <w:sz w:val="16"/>
          <w:szCs w:val="16"/>
        </w:rPr>
        <w:t xml:space="preserve"> je možné vykonávať výlučne na základe pracovn</w:t>
      </w:r>
      <w:r w:rsidR="00CB0FC3">
        <w:rPr>
          <w:rFonts w:ascii="Times New Roman" w:hAnsi="Times New Roman" w:cs="Times New Roman"/>
          <w:sz w:val="16"/>
          <w:szCs w:val="16"/>
        </w:rPr>
        <w:t>ého</w:t>
      </w:r>
      <w:r w:rsidRPr="00AE19E5">
        <w:rPr>
          <w:rFonts w:ascii="Times New Roman" w:hAnsi="Times New Roman" w:cs="Times New Roman"/>
          <w:sz w:val="16"/>
          <w:szCs w:val="16"/>
        </w:rPr>
        <w:t xml:space="preserve"> pomer</w:t>
      </w:r>
      <w:r w:rsidR="00CB0FC3">
        <w:rPr>
          <w:rFonts w:ascii="Times New Roman" w:hAnsi="Times New Roman" w:cs="Times New Roman"/>
          <w:sz w:val="16"/>
          <w:szCs w:val="16"/>
        </w:rPr>
        <w:t>u</w:t>
      </w:r>
      <w:r w:rsidRPr="00AE19E5">
        <w:rPr>
          <w:rFonts w:ascii="Times New Roman" w:hAnsi="Times New Roman" w:cs="Times New Roman"/>
          <w:sz w:val="16"/>
          <w:szCs w:val="16"/>
        </w:rPr>
        <w:t>, alebo obdobného pracovného vzťahu (štátnozamestnanecký pomer</w:t>
      </w:r>
      <w:r w:rsidR="00CB0FC3">
        <w:rPr>
          <w:rFonts w:ascii="Times New Roman" w:hAnsi="Times New Roman" w:cs="Times New Roman"/>
          <w:sz w:val="16"/>
          <w:szCs w:val="16"/>
        </w:rPr>
        <w:t>)</w:t>
      </w:r>
      <w:r w:rsidRPr="00AE19E5">
        <w:rPr>
          <w:rFonts w:ascii="Times New Roman" w:hAnsi="Times New Roman" w:cs="Times New Roman"/>
          <w:sz w:val="16"/>
          <w:szCs w:val="16"/>
        </w:rPr>
        <w:t>,</w:t>
      </w:r>
    </w:p>
  </w:footnote>
  <w:footnote w:id="3">
    <w:p w14:paraId="65731B24" w14:textId="77777777" w:rsidR="008709D9" w:rsidRPr="00AE19E5" w:rsidRDefault="008709D9" w:rsidP="00AE19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AE19E5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AE19E5">
        <w:rPr>
          <w:rFonts w:ascii="Times New Roman" w:hAnsi="Times New Roman" w:cs="Times New Roman"/>
          <w:sz w:val="16"/>
          <w:szCs w:val="16"/>
        </w:rPr>
        <w:t xml:space="preserve"> </w:t>
      </w:r>
      <w:r w:rsidRPr="00AE19E5">
        <w:rPr>
          <w:rFonts w:ascii="Times New Roman" w:hAnsi="Times New Roman" w:cs="Times New Roman"/>
          <w:sz w:val="16"/>
          <w:szCs w:val="16"/>
        </w:rPr>
        <w:t>Napríklad výkon auditu v súlade čl. 75 ods. 2, čl. 125 ods. 4 písm. c) nariadenia (EÚ) č. 1303/2013 v platnom znení.</w:t>
      </w:r>
    </w:p>
  </w:footnote>
  <w:footnote w:id="4">
    <w:p w14:paraId="0BE531E3" w14:textId="7709D406" w:rsidR="008709D9" w:rsidRPr="00AE19E5" w:rsidRDefault="008709D9" w:rsidP="00AE19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E19E5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="00AE19E5" w:rsidRPr="00AE19E5">
        <w:rPr>
          <w:rFonts w:ascii="Times New Roman" w:hAnsi="Times New Roman" w:cs="Times New Roman"/>
          <w:sz w:val="16"/>
          <w:szCs w:val="16"/>
        </w:rPr>
        <w:t xml:space="preserve"> </w:t>
      </w:r>
      <w:r w:rsidRPr="00AE19E5">
        <w:rPr>
          <w:rFonts w:ascii="Times New Roman" w:hAnsi="Times New Roman" w:cs="Times New Roman"/>
          <w:sz w:val="16"/>
          <w:szCs w:val="16"/>
        </w:rPr>
        <w:t>Najmä zákon č. </w:t>
      </w:r>
      <w:hyperlink r:id="rId1" w:tooltip="Odkaz na predpis alebo ustanovenie" w:history="1">
        <w:r w:rsidRPr="00AE19E5">
          <w:rPr>
            <w:rFonts w:ascii="Times New Roman" w:hAnsi="Times New Roman" w:cs="Times New Roman"/>
            <w:sz w:val="16"/>
            <w:szCs w:val="16"/>
          </w:rPr>
          <w:t>343/2015 Z. z.</w:t>
        </w:r>
      </w:hyperlink>
      <w:r w:rsidRPr="00AE19E5">
        <w:rPr>
          <w:rFonts w:ascii="Times New Roman" w:hAnsi="Times New Roman" w:cs="Times New Roman"/>
          <w:sz w:val="16"/>
          <w:szCs w:val="16"/>
        </w:rPr>
        <w:t> o verejnom obstarávaní a o zmene a doplnení niektorých zákonov v znení neskorších predpisov, zákon č. </w:t>
      </w:r>
      <w:hyperlink r:id="rId2" w:tooltip="Odkaz na predpis alebo ustanovenie" w:history="1">
        <w:r w:rsidRPr="00AE19E5">
          <w:rPr>
            <w:rFonts w:ascii="Times New Roman" w:hAnsi="Times New Roman" w:cs="Times New Roman"/>
            <w:sz w:val="16"/>
            <w:szCs w:val="16"/>
          </w:rPr>
          <w:t>431/2002 Z. z.</w:t>
        </w:r>
      </w:hyperlink>
      <w:r w:rsidRPr="00AE19E5">
        <w:rPr>
          <w:rFonts w:ascii="Times New Roman" w:hAnsi="Times New Roman" w:cs="Times New Roman"/>
          <w:sz w:val="16"/>
          <w:szCs w:val="16"/>
        </w:rPr>
        <w:t> o účtovníctve v znení neskorších predpisov, zákon č. </w:t>
      </w:r>
      <w:hyperlink r:id="rId3" w:tooltip="Odkaz na predpis alebo ustanovenie" w:history="1">
        <w:r w:rsidRPr="00AE19E5">
          <w:rPr>
            <w:rFonts w:ascii="Times New Roman" w:hAnsi="Times New Roman" w:cs="Times New Roman"/>
            <w:sz w:val="16"/>
            <w:szCs w:val="16"/>
          </w:rPr>
          <w:t>523/2004 Z. z.</w:t>
        </w:r>
      </w:hyperlink>
      <w:r w:rsidRPr="00AE19E5">
        <w:rPr>
          <w:rFonts w:ascii="Times New Roman" w:hAnsi="Times New Roman" w:cs="Times New Roman"/>
          <w:sz w:val="16"/>
          <w:szCs w:val="16"/>
        </w:rPr>
        <w:t> v znení neskorších predpisov.</w:t>
      </w:r>
    </w:p>
  </w:footnote>
  <w:footnote w:id="5">
    <w:p w14:paraId="4F279ADF" w14:textId="3B3EF0CB" w:rsidR="00911754" w:rsidRPr="00911754" w:rsidRDefault="00911754" w:rsidP="00911754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20"/>
          <w:vertAlign w:val="superscript"/>
        </w:rPr>
        <w:footnoteRef/>
      </w:r>
      <w:r>
        <w:rPr>
          <w:sz w:val="16"/>
          <w:szCs w:val="20"/>
        </w:rPr>
        <w:t xml:space="preserve"> </w:t>
      </w:r>
      <w:r w:rsidRPr="00911754">
        <w:rPr>
          <w:rFonts w:ascii="Times New Roman" w:hAnsi="Times New Roman" w:cs="Times New Roman"/>
          <w:sz w:val="16"/>
          <w:szCs w:val="16"/>
        </w:rPr>
        <w:t>Majetok nesmie predstavovať „infraštruktúru“, ktorou je hmotný majetok trvalej povahy, ktorý spĺňa nasledovné podmienky:</w:t>
      </w:r>
    </w:p>
    <w:p w14:paraId="3D6D42FD" w14:textId="77777777" w:rsidR="00911754" w:rsidRPr="00911754" w:rsidRDefault="00911754" w:rsidP="00911754">
      <w:pPr>
        <w:pStyle w:val="Odsekzoznamu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16"/>
          <w:szCs w:val="16"/>
        </w:rPr>
      </w:pPr>
      <w:r w:rsidRPr="00911754">
        <w:rPr>
          <w:rFonts w:ascii="Times New Roman" w:hAnsi="Times New Roman" w:cs="Times New Roman"/>
          <w:sz w:val="16"/>
          <w:szCs w:val="16"/>
        </w:rPr>
        <w:t>má nehnuteľný (nepohyblivý) charakter (je buď trvale spojený so zemou alebo s majetkom, ktorý je trvale spojený so zemou, v tomto prípade stráca svoju identitu prostredníctvom spojenia a stáva sa súčasťou nehnuteľného majetku s ktorým je spojený);</w:t>
      </w:r>
    </w:p>
    <w:p w14:paraId="23AFC5EB" w14:textId="34643FE1" w:rsidR="00911754" w:rsidRPr="00911754" w:rsidRDefault="00911754" w:rsidP="00911754">
      <w:pPr>
        <w:pStyle w:val="Odsekzoznamu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16"/>
          <w:szCs w:val="16"/>
        </w:rPr>
      </w:pPr>
      <w:r w:rsidRPr="00911754">
        <w:rPr>
          <w:rFonts w:ascii="Times New Roman" w:hAnsi="Times New Roman" w:cs="Times New Roman"/>
          <w:sz w:val="16"/>
          <w:szCs w:val="16"/>
        </w:rPr>
        <w:t>za normálnych podmienok použitia (vrátane primeranej starostlivosti a údržby) má neobmedzenú dobu použitia;</w:t>
      </w:r>
    </w:p>
    <w:p w14:paraId="29489254" w14:textId="2A93A4DB" w:rsidR="00911754" w:rsidRPr="00911754" w:rsidRDefault="00911754" w:rsidP="00911754">
      <w:pPr>
        <w:pStyle w:val="Odsekzoznamu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16"/>
          <w:szCs w:val="16"/>
        </w:rPr>
      </w:pPr>
      <w:r w:rsidRPr="00911754">
        <w:rPr>
          <w:rFonts w:ascii="Times New Roman" w:hAnsi="Times New Roman" w:cs="Times New Roman"/>
          <w:sz w:val="16"/>
          <w:szCs w:val="16"/>
        </w:rPr>
        <w:t>aj napriek používaniu si uchováva pôvodný tvar a</w:t>
      </w:r>
      <w:r>
        <w:rPr>
          <w:rFonts w:ascii="Times New Roman" w:hAnsi="Times New Roman" w:cs="Times New Roman"/>
          <w:sz w:val="16"/>
          <w:szCs w:val="16"/>
        </w:rPr>
        <w:t> </w:t>
      </w:r>
      <w:r w:rsidRPr="00911754">
        <w:rPr>
          <w:rFonts w:ascii="Times New Roman" w:hAnsi="Times New Roman" w:cs="Times New Roman"/>
          <w:sz w:val="16"/>
          <w:szCs w:val="16"/>
        </w:rPr>
        <w:t>vzhľad</w:t>
      </w:r>
      <w:r>
        <w:rPr>
          <w:rFonts w:ascii="Times New Roman" w:hAnsi="Times New Roman" w:cs="Times New Roman"/>
          <w:sz w:val="16"/>
          <w:szCs w:val="16"/>
        </w:rPr>
        <w:t>;</w:t>
      </w:r>
    </w:p>
    <w:p w14:paraId="60225EB4" w14:textId="77777777" w:rsidR="00911754" w:rsidRDefault="00911754" w:rsidP="00911754">
      <w:pPr>
        <w:pStyle w:val="Textpoznmkypodiarou"/>
        <w:jc w:val="both"/>
        <w:rPr>
          <w:rFonts w:cs="Times New Roman"/>
          <w:sz w:val="16"/>
          <w:lang w:val="en-US"/>
        </w:rPr>
      </w:pPr>
      <w:r w:rsidRPr="00911754">
        <w:rPr>
          <w:rFonts w:ascii="Times New Roman" w:hAnsi="Times New Roman" w:cs="Times New Roman"/>
          <w:sz w:val="16"/>
          <w:szCs w:val="16"/>
        </w:rPr>
        <w:t>Nehmotný majetok (majetok nemateriálnej povahy) ako je napríklad softvér, IT systémy nespadá do definície infraštruktúry. Tento majetok je oprávnený na financovanie z ESF, nakoľko je vylúčený z definície neoprávnených výdavkov uvedených v čl. 13 ods. 4 nariadenia o ESF.</w:t>
      </w:r>
    </w:p>
  </w:footnote>
  <w:footnote w:id="6">
    <w:p w14:paraId="5096725C" w14:textId="44A3DFE7" w:rsidR="00853F9D" w:rsidRDefault="00853F9D" w:rsidP="00853F9D">
      <w:pPr>
        <w:tabs>
          <w:tab w:val="left" w:pos="284"/>
        </w:tabs>
        <w:spacing w:after="0"/>
        <w:ind w:left="284" w:hanging="284"/>
        <w:jc w:val="both"/>
        <w:rPr>
          <w:sz w:val="16"/>
          <w:szCs w:val="20"/>
        </w:rPr>
      </w:pPr>
      <w:r>
        <w:rPr>
          <w:sz w:val="16"/>
          <w:szCs w:val="20"/>
          <w:vertAlign w:val="superscript"/>
        </w:rPr>
        <w:footnoteRef/>
      </w:r>
      <w:r>
        <w:rPr>
          <w:sz w:val="16"/>
          <w:szCs w:val="20"/>
        </w:rPr>
        <w:t xml:space="preserve"> </w:t>
      </w:r>
      <w:r>
        <w:rPr>
          <w:sz w:val="16"/>
          <w:szCs w:val="20"/>
        </w:rPr>
        <w:t>Poplatky nesmú predstavovať nasledujúce kategórie nákladov:</w:t>
      </w:r>
    </w:p>
    <w:p w14:paraId="356A1762" w14:textId="290A5980" w:rsidR="00853F9D" w:rsidRPr="00853F9D" w:rsidRDefault="00853F9D" w:rsidP="00853F9D">
      <w:pPr>
        <w:numPr>
          <w:ilvl w:val="1"/>
          <w:numId w:val="15"/>
        </w:numPr>
        <w:spacing w:after="0" w:line="240" w:lineRule="auto"/>
        <w:ind w:left="567" w:hanging="447"/>
        <w:jc w:val="both"/>
        <w:rPr>
          <w:sz w:val="16"/>
          <w:szCs w:val="20"/>
        </w:rPr>
      </w:pPr>
      <w:r w:rsidRPr="00853F9D">
        <w:rPr>
          <w:sz w:val="16"/>
          <w:szCs w:val="20"/>
        </w:rPr>
        <w:t>úroky z dlžných súm;</w:t>
      </w:r>
    </w:p>
    <w:p w14:paraId="420FEAF6" w14:textId="0D184BA9" w:rsidR="00853F9D" w:rsidRPr="00853F9D" w:rsidRDefault="00853F9D" w:rsidP="00853F9D">
      <w:pPr>
        <w:numPr>
          <w:ilvl w:val="1"/>
          <w:numId w:val="15"/>
        </w:numPr>
        <w:spacing w:after="0" w:line="240" w:lineRule="auto"/>
        <w:ind w:left="567" w:hanging="447"/>
        <w:jc w:val="both"/>
        <w:rPr>
          <w:sz w:val="16"/>
          <w:szCs w:val="20"/>
        </w:rPr>
      </w:pPr>
      <w:r w:rsidRPr="00853F9D">
        <w:rPr>
          <w:sz w:val="16"/>
          <w:szCs w:val="20"/>
        </w:rPr>
        <w:t>daň z pridanej hodnoty (DPH) v prípade, že prijímateľ má nárok na jej odpočet na vstupe. Nárok na odpočet je vymedzený zákonom č. 222/2004 Z. z. o dani z pridanej hodnoty (ďalej len „zákon o DPH“). Oprávnená DPH sa vzťahuje len k plneniam, ktoré sú považované za oprávnené. V prípade, ak je výdavok oprávnený iba čiastočne, daň z pridanej hodnoty vzťahujúca sa k tomuto výdavku je oprávneným výdavkom v rovnakom pomere. Akákoľvek činnosť vykonávaná počas realizácie projektu, resp. po jeho ukončení súvisiaca s nadobudnutím/zhodnotením majetku z prostriedkov EŠIF, ktorá bude potenciálne generovať zdaniteľné príjmy (napr. vedecko-výskumná činnosť za odplatu) zakladá prijímateľovi povinnosť odvádzať DPH, t. j. vznikne povinnosť prijímateľa uplatňovať voči daňovému úradu odpočet dane. V takomto prípade bude DPH (uhradená v rámci implementácie projektu ako oprávnený výdavok) spätne za obdobie realizácie projektu považovaná za neoprávnenú v rozsahu aktivít, z ktorých plynú zdaniteľné príjmy;</w:t>
      </w:r>
    </w:p>
    <w:p w14:paraId="77B5A978" w14:textId="781B42CC" w:rsidR="00853F9D" w:rsidRPr="00853F9D" w:rsidRDefault="00853F9D" w:rsidP="00853F9D">
      <w:pPr>
        <w:numPr>
          <w:ilvl w:val="1"/>
          <w:numId w:val="15"/>
        </w:numPr>
        <w:spacing w:after="0" w:line="240" w:lineRule="auto"/>
        <w:ind w:left="567" w:hanging="447"/>
        <w:jc w:val="both"/>
        <w:rPr>
          <w:sz w:val="16"/>
          <w:szCs w:val="20"/>
        </w:rPr>
      </w:pPr>
      <w:r w:rsidRPr="00853F9D">
        <w:rPr>
          <w:sz w:val="16"/>
          <w:szCs w:val="20"/>
        </w:rPr>
        <w:t>náklady sankčného charakteru vrátane súvisiacich výdavkov (pokuty, penále, vrátane zmluvných, výdavky na trovy konania a pod.);</w:t>
      </w:r>
    </w:p>
    <w:p w14:paraId="1E862EC7" w14:textId="62641876" w:rsidR="00853F9D" w:rsidRDefault="00853F9D" w:rsidP="00853F9D">
      <w:pPr>
        <w:pStyle w:val="Textpoznmkypodiarou"/>
        <w:jc w:val="both"/>
        <w:rPr>
          <w:rFonts w:cs="Times New Roman"/>
          <w:sz w:val="16"/>
          <w:lang w:val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A059A" w14:textId="77777777" w:rsidR="00533A0A" w:rsidRDefault="00533A0A" w:rsidP="00534853">
    <w:pPr>
      <w:pStyle w:val="Hlavika"/>
      <w:jc w:val="right"/>
      <w:rPr>
        <w:rFonts w:cstheme="minorHAnsi"/>
      </w:rPr>
    </w:pPr>
  </w:p>
  <w:p w14:paraId="3F6F010A" w14:textId="6B2C500C" w:rsidR="00071D07" w:rsidRDefault="00071D07" w:rsidP="00071D07">
    <w:pPr>
      <w:pStyle w:val="Hlavika"/>
      <w:jc w:val="right"/>
    </w:pPr>
    <w:r>
      <w:t xml:space="preserve"> </w:t>
    </w:r>
  </w:p>
  <w:p w14:paraId="2087A670" w14:textId="77777777" w:rsidR="00AA3E27" w:rsidRPr="00AA3E27" w:rsidRDefault="00AA3E27" w:rsidP="00071D07">
    <w:pPr>
      <w:pStyle w:val="Hlavika"/>
      <w:tabs>
        <w:tab w:val="clear" w:pos="4536"/>
        <w:tab w:val="center" w:pos="0"/>
      </w:tabs>
      <w:rPr>
        <w:rFonts w:ascii="Verdana" w:hAnsi="Verdana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81565" w14:textId="6282FE29" w:rsidR="000F7E02" w:rsidRDefault="00F1354D" w:rsidP="000F7E02">
    <w:pPr>
      <w:pStyle w:val="Hlavika"/>
    </w:pPr>
    <w:r>
      <w:rPr>
        <w:noProof/>
        <w:lang w:eastAsia="sk-SK"/>
      </w:rPr>
      <w:drawing>
        <wp:inline distT="0" distB="0" distL="0" distR="0" wp14:anchorId="2AC59EC1" wp14:editId="68BAD4CF">
          <wp:extent cx="5764530" cy="972820"/>
          <wp:effectExtent l="0" t="0" r="0" b="0"/>
          <wp:docPr id="1" name="Obrázok 1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83A4B3" w14:textId="6E1098E6" w:rsidR="00D278FF" w:rsidRPr="007C593E" w:rsidRDefault="000F7E02" w:rsidP="000F7E02">
    <w:pPr>
      <w:pStyle w:val="Hlavika"/>
      <w:jc w:val="right"/>
      <w:rPr>
        <w:rFonts w:ascii="Times New Roman" w:hAnsi="Times New Roman" w:cs="Times New Roman"/>
      </w:rPr>
    </w:pPr>
    <w:r w:rsidRPr="007C593E">
      <w:rPr>
        <w:rFonts w:ascii="Times New Roman" w:hAnsi="Times New Roman" w:cs="Times New Roman"/>
      </w:rPr>
      <w:t xml:space="preserve">Príloha č. </w:t>
    </w:r>
    <w:r w:rsidR="00B330D2">
      <w:rPr>
        <w:rFonts w:ascii="Times New Roman" w:hAnsi="Times New Roman" w:cs="Times New Roman"/>
      </w:rPr>
      <w:t>6</w:t>
    </w:r>
    <w:r w:rsidRPr="007C593E">
      <w:rPr>
        <w:rFonts w:ascii="Times New Roman" w:hAnsi="Times New Roman" w:cs="Times New Roman"/>
      </w:rPr>
      <w:t xml:space="preserve"> </w:t>
    </w:r>
    <w:r w:rsidR="00734334">
      <w:rPr>
        <w:rFonts w:ascii="Times New Roman" w:hAnsi="Times New Roman" w:cs="Times New Roman"/>
      </w:rPr>
      <w:t>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A0DB0"/>
    <w:multiLevelType w:val="hybridMultilevel"/>
    <w:tmpl w:val="87D8C8CA"/>
    <w:lvl w:ilvl="0" w:tplc="041B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533805"/>
    <w:multiLevelType w:val="hybridMultilevel"/>
    <w:tmpl w:val="B47A4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24978"/>
    <w:multiLevelType w:val="hybridMultilevel"/>
    <w:tmpl w:val="D0409F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A5CF9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23614"/>
    <w:multiLevelType w:val="hybridMultilevel"/>
    <w:tmpl w:val="A5BC96A0"/>
    <w:lvl w:ilvl="0" w:tplc="041B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08541C"/>
    <w:multiLevelType w:val="hybridMultilevel"/>
    <w:tmpl w:val="9DC4EE4E"/>
    <w:lvl w:ilvl="0" w:tplc="0D4686D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D59B5"/>
    <w:multiLevelType w:val="hybridMultilevel"/>
    <w:tmpl w:val="7E2C0300"/>
    <w:lvl w:ilvl="0" w:tplc="041B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6761AB"/>
    <w:multiLevelType w:val="hybridMultilevel"/>
    <w:tmpl w:val="394686E4"/>
    <w:lvl w:ilvl="0" w:tplc="B492B3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922C8"/>
    <w:multiLevelType w:val="hybridMultilevel"/>
    <w:tmpl w:val="18A24BEE"/>
    <w:lvl w:ilvl="0" w:tplc="0ECE44CE">
      <w:start w:val="9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92748"/>
    <w:multiLevelType w:val="hybridMultilevel"/>
    <w:tmpl w:val="3988954C"/>
    <w:lvl w:ilvl="0" w:tplc="E4264CB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F0DB8"/>
    <w:multiLevelType w:val="hybridMultilevel"/>
    <w:tmpl w:val="DBA037DE"/>
    <w:lvl w:ilvl="0" w:tplc="55F4E5C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3B357F"/>
    <w:multiLevelType w:val="hybridMultilevel"/>
    <w:tmpl w:val="17EAAA44"/>
    <w:lvl w:ilvl="0" w:tplc="041B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192E6C"/>
    <w:multiLevelType w:val="hybridMultilevel"/>
    <w:tmpl w:val="CF7A0ED4"/>
    <w:lvl w:ilvl="0" w:tplc="7C7AC1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55550"/>
    <w:multiLevelType w:val="hybridMultilevel"/>
    <w:tmpl w:val="36107D18"/>
    <w:lvl w:ilvl="0" w:tplc="041B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E4264C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Theme="minorHAnsi" w:hAnsi="Verdana" w:cstheme="minorBidi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F3492B"/>
    <w:multiLevelType w:val="hybridMultilevel"/>
    <w:tmpl w:val="3E28D3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D546B3"/>
    <w:multiLevelType w:val="hybridMultilevel"/>
    <w:tmpl w:val="E48EA3D8"/>
    <w:lvl w:ilvl="0" w:tplc="041B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E4264C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Theme="minorHAnsi" w:hAnsi="Verdana" w:cstheme="minorBidi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2"/>
  </w:num>
  <w:num w:numId="5">
    <w:abstractNumId w:val="13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BB"/>
    <w:rsid w:val="0000039D"/>
    <w:rsid w:val="00002B12"/>
    <w:rsid w:val="000073D5"/>
    <w:rsid w:val="00042028"/>
    <w:rsid w:val="000430D6"/>
    <w:rsid w:val="000530D2"/>
    <w:rsid w:val="0005439B"/>
    <w:rsid w:val="00055108"/>
    <w:rsid w:val="000558C8"/>
    <w:rsid w:val="00064C06"/>
    <w:rsid w:val="00065B51"/>
    <w:rsid w:val="00071D07"/>
    <w:rsid w:val="00075F2B"/>
    <w:rsid w:val="00075F61"/>
    <w:rsid w:val="0007694F"/>
    <w:rsid w:val="000C2D25"/>
    <w:rsid w:val="000F6065"/>
    <w:rsid w:val="000F7E02"/>
    <w:rsid w:val="00124B0F"/>
    <w:rsid w:val="0013232E"/>
    <w:rsid w:val="00145C45"/>
    <w:rsid w:val="00147A08"/>
    <w:rsid w:val="00157CF3"/>
    <w:rsid w:val="00164B44"/>
    <w:rsid w:val="00185592"/>
    <w:rsid w:val="001B2321"/>
    <w:rsid w:val="001D2A8A"/>
    <w:rsid w:val="001E1500"/>
    <w:rsid w:val="001E56DC"/>
    <w:rsid w:val="001F3423"/>
    <w:rsid w:val="001F7F93"/>
    <w:rsid w:val="00203F41"/>
    <w:rsid w:val="0022546D"/>
    <w:rsid w:val="00246179"/>
    <w:rsid w:val="00246CE4"/>
    <w:rsid w:val="00267469"/>
    <w:rsid w:val="002768E3"/>
    <w:rsid w:val="002858FC"/>
    <w:rsid w:val="00291322"/>
    <w:rsid w:val="00291CC9"/>
    <w:rsid w:val="002A14EF"/>
    <w:rsid w:val="002A60F6"/>
    <w:rsid w:val="002D4CDD"/>
    <w:rsid w:val="002E18D5"/>
    <w:rsid w:val="002E4F14"/>
    <w:rsid w:val="002F08AE"/>
    <w:rsid w:val="002F30C1"/>
    <w:rsid w:val="002F42A4"/>
    <w:rsid w:val="00304A63"/>
    <w:rsid w:val="00306209"/>
    <w:rsid w:val="00307AC1"/>
    <w:rsid w:val="0031442D"/>
    <w:rsid w:val="003205ED"/>
    <w:rsid w:val="00333961"/>
    <w:rsid w:val="00340E09"/>
    <w:rsid w:val="00357296"/>
    <w:rsid w:val="0036097B"/>
    <w:rsid w:val="00360C40"/>
    <w:rsid w:val="00363D6D"/>
    <w:rsid w:val="003708E2"/>
    <w:rsid w:val="00387A49"/>
    <w:rsid w:val="00392905"/>
    <w:rsid w:val="003952B7"/>
    <w:rsid w:val="00395D39"/>
    <w:rsid w:val="003C41A1"/>
    <w:rsid w:val="003D0AEC"/>
    <w:rsid w:val="003E0CEA"/>
    <w:rsid w:val="003F406D"/>
    <w:rsid w:val="00400C9D"/>
    <w:rsid w:val="004054A8"/>
    <w:rsid w:val="0041795E"/>
    <w:rsid w:val="00436B72"/>
    <w:rsid w:val="0043772C"/>
    <w:rsid w:val="00453AF4"/>
    <w:rsid w:val="00463B30"/>
    <w:rsid w:val="004701DE"/>
    <w:rsid w:val="00470916"/>
    <w:rsid w:val="0047650F"/>
    <w:rsid w:val="004810F8"/>
    <w:rsid w:val="004819A5"/>
    <w:rsid w:val="00484B35"/>
    <w:rsid w:val="004912A5"/>
    <w:rsid w:val="00494B1D"/>
    <w:rsid w:val="004966D8"/>
    <w:rsid w:val="00497BC2"/>
    <w:rsid w:val="004B6BE8"/>
    <w:rsid w:val="004B735A"/>
    <w:rsid w:val="004B7CD5"/>
    <w:rsid w:val="004D40C9"/>
    <w:rsid w:val="004E0E80"/>
    <w:rsid w:val="004E29A8"/>
    <w:rsid w:val="004F23B9"/>
    <w:rsid w:val="00504A85"/>
    <w:rsid w:val="0051329E"/>
    <w:rsid w:val="00520107"/>
    <w:rsid w:val="00527E78"/>
    <w:rsid w:val="00533A0A"/>
    <w:rsid w:val="00534853"/>
    <w:rsid w:val="00534885"/>
    <w:rsid w:val="00546996"/>
    <w:rsid w:val="0055270C"/>
    <w:rsid w:val="00555C2C"/>
    <w:rsid w:val="0055601B"/>
    <w:rsid w:val="00557A31"/>
    <w:rsid w:val="00564C4E"/>
    <w:rsid w:val="00565AC4"/>
    <w:rsid w:val="00576A4B"/>
    <w:rsid w:val="00582B81"/>
    <w:rsid w:val="00590BD4"/>
    <w:rsid w:val="005B3BD5"/>
    <w:rsid w:val="005B5A97"/>
    <w:rsid w:val="005C42CC"/>
    <w:rsid w:val="005C4DAC"/>
    <w:rsid w:val="005E0B0C"/>
    <w:rsid w:val="005E2C7A"/>
    <w:rsid w:val="005F3C05"/>
    <w:rsid w:val="006212B7"/>
    <w:rsid w:val="0062432B"/>
    <w:rsid w:val="00643F64"/>
    <w:rsid w:val="006442CB"/>
    <w:rsid w:val="00647565"/>
    <w:rsid w:val="00650333"/>
    <w:rsid w:val="00650B03"/>
    <w:rsid w:val="00655ACA"/>
    <w:rsid w:val="00657042"/>
    <w:rsid w:val="00661E30"/>
    <w:rsid w:val="00662DC9"/>
    <w:rsid w:val="00664516"/>
    <w:rsid w:val="0067145E"/>
    <w:rsid w:val="006731C0"/>
    <w:rsid w:val="00675A8A"/>
    <w:rsid w:val="00676CB1"/>
    <w:rsid w:val="00676CBA"/>
    <w:rsid w:val="0067734C"/>
    <w:rsid w:val="00684564"/>
    <w:rsid w:val="006868C4"/>
    <w:rsid w:val="006901E7"/>
    <w:rsid w:val="006947F8"/>
    <w:rsid w:val="00694B9A"/>
    <w:rsid w:val="00695CA7"/>
    <w:rsid w:val="006A15C0"/>
    <w:rsid w:val="006A4D2E"/>
    <w:rsid w:val="006B3DBD"/>
    <w:rsid w:val="006C58EC"/>
    <w:rsid w:val="006D04AC"/>
    <w:rsid w:val="006D1692"/>
    <w:rsid w:val="006D558E"/>
    <w:rsid w:val="006D7EC9"/>
    <w:rsid w:val="006E7E09"/>
    <w:rsid w:val="007103E9"/>
    <w:rsid w:val="007161E1"/>
    <w:rsid w:val="007242A5"/>
    <w:rsid w:val="0073038D"/>
    <w:rsid w:val="00734334"/>
    <w:rsid w:val="00736499"/>
    <w:rsid w:val="00741D9E"/>
    <w:rsid w:val="00742371"/>
    <w:rsid w:val="007674B4"/>
    <w:rsid w:val="00774B26"/>
    <w:rsid w:val="0079554E"/>
    <w:rsid w:val="007979C6"/>
    <w:rsid w:val="007A0709"/>
    <w:rsid w:val="007B3B82"/>
    <w:rsid w:val="007C593E"/>
    <w:rsid w:val="007C5FD0"/>
    <w:rsid w:val="007D61DD"/>
    <w:rsid w:val="007E2EA8"/>
    <w:rsid w:val="007E316E"/>
    <w:rsid w:val="007E58BC"/>
    <w:rsid w:val="007F0E12"/>
    <w:rsid w:val="007F54D7"/>
    <w:rsid w:val="00800C3B"/>
    <w:rsid w:val="00804CAC"/>
    <w:rsid w:val="0083228C"/>
    <w:rsid w:val="0083285F"/>
    <w:rsid w:val="008462A7"/>
    <w:rsid w:val="0085269F"/>
    <w:rsid w:val="00852EB8"/>
    <w:rsid w:val="00853F9D"/>
    <w:rsid w:val="00856FB7"/>
    <w:rsid w:val="00857013"/>
    <w:rsid w:val="008709D9"/>
    <w:rsid w:val="00885D68"/>
    <w:rsid w:val="00892B09"/>
    <w:rsid w:val="00896BF8"/>
    <w:rsid w:val="00897068"/>
    <w:rsid w:val="008B76C9"/>
    <w:rsid w:val="008C389F"/>
    <w:rsid w:val="008C38F7"/>
    <w:rsid w:val="008C6B57"/>
    <w:rsid w:val="008D76C2"/>
    <w:rsid w:val="008E078A"/>
    <w:rsid w:val="008E7ABB"/>
    <w:rsid w:val="008F0C2B"/>
    <w:rsid w:val="008F4EBD"/>
    <w:rsid w:val="00911754"/>
    <w:rsid w:val="0091770E"/>
    <w:rsid w:val="00921BA5"/>
    <w:rsid w:val="009358F2"/>
    <w:rsid w:val="009360C6"/>
    <w:rsid w:val="00946516"/>
    <w:rsid w:val="009502FA"/>
    <w:rsid w:val="00951359"/>
    <w:rsid w:val="00954098"/>
    <w:rsid w:val="00965037"/>
    <w:rsid w:val="009670D2"/>
    <w:rsid w:val="00970780"/>
    <w:rsid w:val="00973394"/>
    <w:rsid w:val="00976485"/>
    <w:rsid w:val="0098387E"/>
    <w:rsid w:val="00983E7F"/>
    <w:rsid w:val="009B3CA0"/>
    <w:rsid w:val="009C15E7"/>
    <w:rsid w:val="009C57BB"/>
    <w:rsid w:val="009D3F00"/>
    <w:rsid w:val="009D5A5D"/>
    <w:rsid w:val="009F4ED1"/>
    <w:rsid w:val="009F7121"/>
    <w:rsid w:val="00A02D5C"/>
    <w:rsid w:val="00A1098E"/>
    <w:rsid w:val="00A140F5"/>
    <w:rsid w:val="00A16D4A"/>
    <w:rsid w:val="00A171BA"/>
    <w:rsid w:val="00A20E9E"/>
    <w:rsid w:val="00A24E16"/>
    <w:rsid w:val="00A26868"/>
    <w:rsid w:val="00A37C3A"/>
    <w:rsid w:val="00A622B3"/>
    <w:rsid w:val="00A64860"/>
    <w:rsid w:val="00A67FC3"/>
    <w:rsid w:val="00A7207A"/>
    <w:rsid w:val="00A77E32"/>
    <w:rsid w:val="00A814A6"/>
    <w:rsid w:val="00AA3E27"/>
    <w:rsid w:val="00AB7496"/>
    <w:rsid w:val="00AE19E5"/>
    <w:rsid w:val="00AE5181"/>
    <w:rsid w:val="00AF3264"/>
    <w:rsid w:val="00B0124C"/>
    <w:rsid w:val="00B05E57"/>
    <w:rsid w:val="00B06F66"/>
    <w:rsid w:val="00B330D2"/>
    <w:rsid w:val="00B37597"/>
    <w:rsid w:val="00B40DA2"/>
    <w:rsid w:val="00B76FA9"/>
    <w:rsid w:val="00B80EB5"/>
    <w:rsid w:val="00B91F63"/>
    <w:rsid w:val="00B95E2B"/>
    <w:rsid w:val="00BA480B"/>
    <w:rsid w:val="00BA4C89"/>
    <w:rsid w:val="00BB1545"/>
    <w:rsid w:val="00BB4005"/>
    <w:rsid w:val="00BB41D0"/>
    <w:rsid w:val="00BB7EF1"/>
    <w:rsid w:val="00BD35DB"/>
    <w:rsid w:val="00BD36DD"/>
    <w:rsid w:val="00BD4B0D"/>
    <w:rsid w:val="00BD5425"/>
    <w:rsid w:val="00BE603C"/>
    <w:rsid w:val="00BF1C1B"/>
    <w:rsid w:val="00BF4337"/>
    <w:rsid w:val="00BF4E87"/>
    <w:rsid w:val="00C016F0"/>
    <w:rsid w:val="00C0235C"/>
    <w:rsid w:val="00C029F4"/>
    <w:rsid w:val="00C1009F"/>
    <w:rsid w:val="00C22CB5"/>
    <w:rsid w:val="00C31123"/>
    <w:rsid w:val="00C434E7"/>
    <w:rsid w:val="00C451F4"/>
    <w:rsid w:val="00C455F8"/>
    <w:rsid w:val="00C478B1"/>
    <w:rsid w:val="00C74D47"/>
    <w:rsid w:val="00C80F8B"/>
    <w:rsid w:val="00C84C0D"/>
    <w:rsid w:val="00C91810"/>
    <w:rsid w:val="00CA1DA1"/>
    <w:rsid w:val="00CA2F4A"/>
    <w:rsid w:val="00CB0FC3"/>
    <w:rsid w:val="00CB2EC3"/>
    <w:rsid w:val="00CD1747"/>
    <w:rsid w:val="00CE3ECA"/>
    <w:rsid w:val="00CE6D4F"/>
    <w:rsid w:val="00CF2AC0"/>
    <w:rsid w:val="00CF627E"/>
    <w:rsid w:val="00D05BAD"/>
    <w:rsid w:val="00D278FF"/>
    <w:rsid w:val="00D37046"/>
    <w:rsid w:val="00D5301C"/>
    <w:rsid w:val="00D62ACA"/>
    <w:rsid w:val="00D63AF9"/>
    <w:rsid w:val="00D65DBF"/>
    <w:rsid w:val="00D660CF"/>
    <w:rsid w:val="00D72438"/>
    <w:rsid w:val="00D74028"/>
    <w:rsid w:val="00D871EC"/>
    <w:rsid w:val="00DA1C04"/>
    <w:rsid w:val="00DA64B0"/>
    <w:rsid w:val="00DB6F0D"/>
    <w:rsid w:val="00DB7587"/>
    <w:rsid w:val="00DC168A"/>
    <w:rsid w:val="00DC7683"/>
    <w:rsid w:val="00DD284F"/>
    <w:rsid w:val="00DE2740"/>
    <w:rsid w:val="00E04EB7"/>
    <w:rsid w:val="00E172AF"/>
    <w:rsid w:val="00E20C22"/>
    <w:rsid w:val="00E3046F"/>
    <w:rsid w:val="00E32DDD"/>
    <w:rsid w:val="00E40A31"/>
    <w:rsid w:val="00E62BAE"/>
    <w:rsid w:val="00E86947"/>
    <w:rsid w:val="00E90B23"/>
    <w:rsid w:val="00EA1A13"/>
    <w:rsid w:val="00EA6ED4"/>
    <w:rsid w:val="00EB11E2"/>
    <w:rsid w:val="00EC726C"/>
    <w:rsid w:val="00ED0162"/>
    <w:rsid w:val="00EE2BB8"/>
    <w:rsid w:val="00EE40D6"/>
    <w:rsid w:val="00EF7DAD"/>
    <w:rsid w:val="00EF7DBE"/>
    <w:rsid w:val="00F04D21"/>
    <w:rsid w:val="00F060DD"/>
    <w:rsid w:val="00F118FE"/>
    <w:rsid w:val="00F1354D"/>
    <w:rsid w:val="00F15FD8"/>
    <w:rsid w:val="00F23EBE"/>
    <w:rsid w:val="00F344FA"/>
    <w:rsid w:val="00F43871"/>
    <w:rsid w:val="00F443AD"/>
    <w:rsid w:val="00F465E8"/>
    <w:rsid w:val="00F54631"/>
    <w:rsid w:val="00F55083"/>
    <w:rsid w:val="00F57D1A"/>
    <w:rsid w:val="00F60DE9"/>
    <w:rsid w:val="00F64F77"/>
    <w:rsid w:val="00F84E4F"/>
    <w:rsid w:val="00F91845"/>
    <w:rsid w:val="00F92589"/>
    <w:rsid w:val="00F94D7C"/>
    <w:rsid w:val="00F952C7"/>
    <w:rsid w:val="00FA65E0"/>
    <w:rsid w:val="00FB2567"/>
    <w:rsid w:val="00FC047F"/>
    <w:rsid w:val="00FC3881"/>
    <w:rsid w:val="00FD0401"/>
    <w:rsid w:val="00FD13BE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F2E8AF"/>
  <w15:docId w15:val="{DE84868A-16C0-484D-94C1-477105A3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534853"/>
  </w:style>
  <w:style w:type="paragraph" w:styleId="Pta">
    <w:name w:val="footer"/>
    <w:basedOn w:val="Normlny"/>
    <w:link w:val="PtaChar"/>
    <w:uiPriority w:val="99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4853"/>
  </w:style>
  <w:style w:type="paragraph" w:customStyle="1" w:styleId="Default">
    <w:name w:val="Default"/>
    <w:rsid w:val="00FB25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4,Char4"/>
    <w:basedOn w:val="Normlny"/>
    <w:link w:val="TextpoznmkypodiarouChar"/>
    <w:uiPriority w:val="99"/>
    <w:unhideWhenUsed/>
    <w:rsid w:val="00FB256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FB2567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iPriority w:val="99"/>
    <w:unhideWhenUsed/>
    <w:rsid w:val="00FB2567"/>
    <w:rPr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856FB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64F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4F7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4F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4F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4F7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4F7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2F42A4"/>
    <w:pPr>
      <w:spacing w:after="120" w:line="300" w:lineRule="auto"/>
    </w:pPr>
    <w:rPr>
      <w:rFonts w:eastAsiaTheme="minorEastAsia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rsid w:val="002F42A4"/>
    <w:rPr>
      <w:rFonts w:eastAsiaTheme="minorEastAsia"/>
      <w:sz w:val="21"/>
      <w:szCs w:val="21"/>
      <w:lang w:val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2F42A4"/>
  </w:style>
  <w:style w:type="paragraph" w:styleId="Revzia">
    <w:name w:val="Revision"/>
    <w:hidden/>
    <w:uiPriority w:val="99"/>
    <w:semiHidden/>
    <w:rsid w:val="00655ACA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semiHidden/>
    <w:unhideWhenUsed/>
    <w:rsid w:val="008709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lov-lex.sk/pravne-predpisy/SK/ZZ/2004/523/" TargetMode="External"/><Relationship Id="rId2" Type="http://schemas.openxmlformats.org/officeDocument/2006/relationships/hyperlink" Target="https://www.slov-lex.sk/pravne-predpisy/SK/ZZ/2002/431/" TargetMode="External"/><Relationship Id="rId1" Type="http://schemas.openxmlformats.org/officeDocument/2006/relationships/hyperlink" Target="https://www.slov-lex.sk/pravne-predpisy/SK/ZZ/2015/343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AEB3-0CF4-4EDB-BE73-3D26330337BB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df68beb4-40f4-4a69-a992-d7c992f59b2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475EF02-E50D-4476-A3C5-539BE69BE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8beb4-40f4-4a69-a992-d7c992f5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7CC344-2B08-44F3-A06C-E110E90B7F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05A8BA-8E49-44B8-B8B7-5651003C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Slavomír Gajarský</dc:creator>
  <cp:lastModifiedBy>Milan Matovič</cp:lastModifiedBy>
  <cp:revision>29</cp:revision>
  <cp:lastPrinted>2021-09-14T07:25:00Z</cp:lastPrinted>
  <dcterms:created xsi:type="dcterms:W3CDTF">2017-03-27T08:54:00Z</dcterms:created>
  <dcterms:modified xsi:type="dcterms:W3CDTF">2021-09-14T07:26:00Z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