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nasl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. nariadenia Európskeho parlamentu a Rady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1929/2015 z 28. októbra 2015, ktorým sa mení nariadenie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Európska komisia zriadila a prevádzkuje Systém včasného odhaľovania rizika a vylúčených subjektov – The 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Detection</w:t>
      </w:r>
      <w:proofErr w:type="spellEnd"/>
      <w:r w:rsidRPr="005620C9">
        <w:rPr>
          <w:rFonts w:ascii="Calibri" w:hAnsi="Calibri" w:cs="Calibri"/>
          <w:color w:val="000000"/>
        </w:rPr>
        <w:t xml:space="preserve"> and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(ďalej len „EDES databáza“), aby posilnila ochranu finančných záujmov Európskej únie. Od 1. januára 2016 EDES databáza nahrádza Systém včasného varovania (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Warning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– EWS) a Centrálnu databázu vylúčených subjektov (</w:t>
      </w:r>
      <w:proofErr w:type="spellStart"/>
      <w:r w:rsidRPr="005620C9">
        <w:rPr>
          <w:rFonts w:ascii="Calibri" w:hAnsi="Calibri" w:cs="Calibri"/>
          <w:color w:val="000000"/>
        </w:rPr>
        <w:t>Central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Database</w:t>
      </w:r>
      <w:proofErr w:type="spellEnd"/>
      <w:r w:rsidRPr="005620C9">
        <w:rPr>
          <w:rFonts w:ascii="Calibri" w:hAnsi="Calibri" w:cs="Calibri"/>
          <w:color w:val="000000"/>
        </w:rPr>
        <w:t xml:space="preserve">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č. 966/2012 o rozpočtových pravidlách, ktoré sa vzťahujú na všeobecný rozpočet Únie v znení nariadenia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0E5B8B50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AB21A" w14:textId="77777777" w:rsidR="006A43E0" w:rsidRDefault="006A43E0" w:rsidP="00467055">
      <w:pPr>
        <w:spacing w:after="0" w:line="240" w:lineRule="auto"/>
      </w:pPr>
      <w:r>
        <w:separator/>
      </w:r>
    </w:p>
  </w:endnote>
  <w:endnote w:type="continuationSeparator" w:id="0">
    <w:p w14:paraId="6F2AA09C" w14:textId="77777777" w:rsidR="006A43E0" w:rsidRDefault="006A43E0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22D90" w14:textId="77777777" w:rsidR="0025643F" w:rsidRDefault="0025643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207C" w14:textId="77777777" w:rsidR="0025643F" w:rsidRDefault="0025643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1AB2" w14:textId="77777777" w:rsidR="0025643F" w:rsidRDefault="002564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E2AF" w14:textId="77777777" w:rsidR="006A43E0" w:rsidRDefault="006A43E0" w:rsidP="00467055">
      <w:pPr>
        <w:spacing w:after="0" w:line="240" w:lineRule="auto"/>
      </w:pPr>
      <w:r>
        <w:separator/>
      </w:r>
    </w:p>
  </w:footnote>
  <w:footnote w:type="continuationSeparator" w:id="0">
    <w:p w14:paraId="063A5DF0" w14:textId="77777777" w:rsidR="006A43E0" w:rsidRDefault="006A43E0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B28C0" w14:textId="77777777" w:rsidR="0025643F" w:rsidRDefault="0025643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4015B381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25643F">
      <w:rPr>
        <w:rFonts w:asciiTheme="majorHAnsi" w:hAnsiTheme="majorHAnsi" w:cstheme="majorHAnsi"/>
        <w:color w:val="404040" w:themeColor="text1" w:themeTint="BF"/>
      </w:rPr>
      <w:t xml:space="preserve"> </w:t>
    </w:r>
    <w:r w:rsidR="0025643F">
      <w:rPr>
        <w:rFonts w:asciiTheme="majorHAnsi" w:hAnsiTheme="majorHAnsi" w:cstheme="majorHAnsi"/>
        <w:color w:val="404040" w:themeColor="text1" w:themeTint="BF"/>
      </w:rPr>
      <w:t>3</w:t>
    </w:r>
    <w:bookmarkStart w:id="0" w:name="_GoBack"/>
    <w:bookmarkEnd w:id="0"/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Pr="00554892">
      <w:rPr>
        <w:rFonts w:asciiTheme="majorHAnsi" w:hAnsiTheme="majorHAnsi" w:cstheme="majorHAnsi"/>
        <w:color w:val="404040" w:themeColor="text1" w:themeTint="BF"/>
      </w:rPr>
      <w:t xml:space="preserve">yzvaniu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814A" w14:textId="77777777" w:rsidR="0025643F" w:rsidRDefault="002564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25643F"/>
    <w:rsid w:val="003245EE"/>
    <w:rsid w:val="00467055"/>
    <w:rsid w:val="00536034"/>
    <w:rsid w:val="005620C9"/>
    <w:rsid w:val="005E3E2B"/>
    <w:rsid w:val="006A43E0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971F-DF5F-4DDD-8F31-E86EB4ACA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4.xml><?xml version="1.0" encoding="utf-8"?>
<ds:datastoreItem xmlns:ds="http://schemas.openxmlformats.org/officeDocument/2006/customXml" ds:itemID="{27845D6E-7729-4A85-BA80-CF569054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Milan Matovič</cp:lastModifiedBy>
  <cp:revision>23</cp:revision>
  <dcterms:created xsi:type="dcterms:W3CDTF">2015-09-30T08:28:00Z</dcterms:created>
  <dcterms:modified xsi:type="dcterms:W3CDTF">2020-04-06T09:03:00Z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