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 xml:space="preserve">(v prípade, ak je žiadateľ registrovaný ako </w:t>
            </w:r>
            <w:r w:rsidR="006B0271" w:rsidRPr="007A3FFB">
              <w:rPr>
                <w:sz w:val="18"/>
                <w:szCs w:val="18"/>
              </w:rPr>
              <w:lastRenderedPageBreak/>
              <w:t>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</w:t>
            </w:r>
            <w:r w:rsidR="001B790C">
              <w:rPr>
                <w:sz w:val="18"/>
                <w:szCs w:val="18"/>
              </w:rPr>
              <w:lastRenderedPageBreak/>
              <w:t>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 xml:space="preserve"> miestom realizácie </w:t>
            </w:r>
            <w:r w:rsidR="00E6425C">
              <w:rPr>
                <w:sz w:val="18"/>
                <w:szCs w:val="18"/>
              </w:rPr>
              <w:lastRenderedPageBreak/>
              <w:t>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lastRenderedPageBreak/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AF014E">
              <w:rPr>
                <w:sz w:val="18"/>
                <w:szCs w:val="18"/>
              </w:rPr>
              <w:lastRenderedPageBreak/>
              <w:t>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="00AB551E" w:rsidRPr="00AB551E">
              <w:rPr>
                <w:sz w:val="18"/>
                <w:szCs w:val="18"/>
              </w:rPr>
              <w:t>minimis</w:t>
            </w:r>
            <w:proofErr w:type="spellEnd"/>
            <w:r w:rsidR="00AB551E"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>žiadateľ neporušil zákaz nelegálnej práce a nelegálneho zamestnávania za obdobie 5 rokov predchádzajúcich podaniu ŽoNFP,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nie je dlžníkom na daniach, zdravotnom a sociálnom poistení, </w:t>
            </w:r>
          </w:p>
          <w:p w:rsidR="009B5375" w:rsidRPr="009B5375" w:rsidRDefault="009B5375" w:rsidP="009B5375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bookmarkStart w:id="0" w:name="_GoBack"/>
            <w:bookmarkEnd w:id="0"/>
            <w:r w:rsidRPr="009B5375">
              <w:rPr>
                <w:sz w:val="18"/>
                <w:szCs w:val="18"/>
              </w:rPr>
              <w:t>všetci členovia štatutárneho orgánu žiadateľa a osoba splnomocnená zastupovať žiadateľa v konaní o ŽoNFP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E2A" w:rsidRDefault="00AB2E2A" w:rsidP="006B0271">
      <w:pPr>
        <w:spacing w:after="0" w:line="240" w:lineRule="auto"/>
      </w:pPr>
      <w:r>
        <w:separator/>
      </w:r>
    </w:p>
  </w:endnote>
  <w:endnote w:type="continuationSeparator" w:id="0">
    <w:p w:rsidR="00AB2E2A" w:rsidRDefault="00AB2E2A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E2A" w:rsidRDefault="00AB2E2A" w:rsidP="006B0271">
      <w:pPr>
        <w:spacing w:after="0" w:line="240" w:lineRule="auto"/>
      </w:pPr>
      <w:r>
        <w:separator/>
      </w:r>
    </w:p>
  </w:footnote>
  <w:footnote w:type="continuationSeparator" w:id="0">
    <w:p w:rsidR="00AB2E2A" w:rsidRDefault="00AB2E2A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1B2467">
    <w:pPr>
      <w:pStyle w:val="Hlavika"/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2E" w:rsidRDefault="00406B2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B5375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2E2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basedOn w:val="Normlny"/>
    <w:uiPriority w:val="34"/>
    <w:qFormat/>
    <w:rsid w:val="009B5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2018-03-27T07:43:00Z</dcterms:modified>
</cp:coreProperties>
</file>